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788"/>
        <w:gridCol w:w="4788"/>
      </w:tblGrid>
      <w:tr w:rsidR="002743E3">
        <w:tc>
          <w:tcPr>
            <w:tcW w:w="4788" w:type="dxa"/>
          </w:tcPr>
          <w:p w:rsidR="002743E3" w:rsidRDefault="002743E3">
            <w:pPr>
              <w:pStyle w:val="Heading1"/>
            </w:pPr>
            <w:proofErr w:type="spellStart"/>
            <w:r>
              <w:t>Harrod's</w:t>
            </w:r>
            <w:proofErr w:type="spellEnd"/>
            <w:r>
              <w:t xml:space="preserve"> Sporting Goods</w:t>
            </w:r>
          </w:p>
        </w:tc>
        <w:tc>
          <w:tcPr>
            <w:tcW w:w="4788" w:type="dxa"/>
          </w:tcPr>
          <w:p w:rsidR="002743E3" w:rsidRDefault="002743E3">
            <w:pPr>
              <w:pStyle w:val="Heading1"/>
              <w:jc w:val="right"/>
              <w:rPr>
                <w:b w:val="0"/>
              </w:rPr>
            </w:pPr>
            <w:r>
              <w:rPr>
                <w:b w:val="0"/>
              </w:rPr>
              <w:t>Case 1</w:t>
            </w:r>
          </w:p>
        </w:tc>
      </w:tr>
    </w:tbl>
    <w:p w:rsidR="002743E3" w:rsidRDefault="002743E3"/>
    <w:p w:rsidR="002743E3" w:rsidRDefault="002743E3">
      <w:pPr>
        <w:pStyle w:val="Heading2"/>
        <w:ind w:left="360" w:hanging="360"/>
        <w:jc w:val="center"/>
      </w:pPr>
      <w:r>
        <w:t>Ratio Analysis</w:t>
      </w:r>
    </w:p>
    <w:p w:rsidR="002743E3" w:rsidRDefault="002743E3">
      <w:r>
        <w:t>Purpose:  The case allows the student to examine ratio analysis within the context of a customer-banking arrangement. The firm has a disagreement with the bank over how much it should be paying in relation to prime (no prior knowledge of banking is required for the case). An item of particular interest is the impact of an extraordinary loss on the firm's income statement. It has a major effect on the analysis of the company. Industry comparisons also are utilized.</w:t>
      </w:r>
    </w:p>
    <w:p w:rsidR="002743E3" w:rsidRDefault="002743E3">
      <w:pPr>
        <w:ind w:left="360" w:hanging="360"/>
      </w:pPr>
    </w:p>
    <w:p w:rsidR="002743E3" w:rsidRDefault="002743E3">
      <w:pPr>
        <w:ind w:left="360" w:hanging="360"/>
      </w:pPr>
      <w:r>
        <w:t>Relation to Text:  The case should follow Chapter 3.</w:t>
      </w:r>
    </w:p>
    <w:p w:rsidR="002743E3" w:rsidRDefault="002743E3">
      <w:pPr>
        <w:ind w:left="360" w:hanging="360"/>
      </w:pPr>
    </w:p>
    <w:p w:rsidR="002743E3" w:rsidRDefault="002743E3">
      <w:pPr>
        <w:ind w:left="360" w:hanging="360"/>
      </w:pPr>
      <w:r>
        <w:t>Complexity:  The case is moderately complex. It should require 1 to 1½ hours.</w:t>
      </w:r>
    </w:p>
    <w:p w:rsidR="002743E3" w:rsidRDefault="002743E3">
      <w:pPr>
        <w:pStyle w:val="Heading2"/>
        <w:ind w:left="360" w:hanging="360"/>
      </w:pPr>
      <w:r>
        <w:br w:type="page"/>
      </w:r>
      <w:r>
        <w:lastRenderedPageBreak/>
        <w:t>Solutions</w:t>
      </w:r>
    </w:p>
    <w:p w:rsidR="002743E3" w:rsidRDefault="002743E3"/>
    <w:tbl>
      <w:tblPr>
        <w:tblW w:w="10030" w:type="dxa"/>
        <w:tblLayout w:type="fixed"/>
        <w:tblLook w:val="0000" w:firstRow="0" w:lastRow="0" w:firstColumn="0" w:lastColumn="0" w:noHBand="0" w:noVBand="0"/>
      </w:tblPr>
      <w:tblGrid>
        <w:gridCol w:w="381"/>
        <w:gridCol w:w="537"/>
        <w:gridCol w:w="3690"/>
        <w:gridCol w:w="1572"/>
        <w:gridCol w:w="236"/>
        <w:gridCol w:w="1570"/>
        <w:gridCol w:w="238"/>
        <w:gridCol w:w="1570"/>
        <w:gridCol w:w="236"/>
      </w:tblGrid>
      <w:tr w:rsidR="002743E3">
        <w:trPr>
          <w:cantSplit/>
        </w:trPr>
        <w:tc>
          <w:tcPr>
            <w:tcW w:w="381" w:type="dxa"/>
          </w:tcPr>
          <w:p w:rsidR="002743E3" w:rsidRDefault="002743E3">
            <w:r>
              <w:t>1.</w:t>
            </w:r>
          </w:p>
        </w:tc>
        <w:tc>
          <w:tcPr>
            <w:tcW w:w="4227" w:type="dxa"/>
            <w:gridSpan w:val="2"/>
          </w:tcPr>
          <w:p w:rsidR="002743E3" w:rsidRDefault="002743E3">
            <w:r>
              <w:t>Ratios</w:t>
            </w:r>
          </w:p>
        </w:tc>
        <w:tc>
          <w:tcPr>
            <w:tcW w:w="1572" w:type="dxa"/>
            <w:tcBorders>
              <w:bottom w:val="single" w:sz="4" w:space="0" w:color="auto"/>
            </w:tcBorders>
          </w:tcPr>
          <w:p w:rsidR="002743E3" w:rsidRDefault="002743E3" w:rsidP="00C272C9">
            <w:pPr>
              <w:jc w:val="center"/>
              <w:rPr>
                <w:b/>
                <w:bCs/>
              </w:rPr>
            </w:pPr>
            <w:r>
              <w:rPr>
                <w:b/>
                <w:bCs/>
              </w:rPr>
              <w:t>2007</w:t>
            </w:r>
          </w:p>
        </w:tc>
        <w:tc>
          <w:tcPr>
            <w:tcW w:w="236" w:type="dxa"/>
          </w:tcPr>
          <w:p w:rsidR="002743E3" w:rsidRDefault="002743E3">
            <w:pPr>
              <w:jc w:val="center"/>
              <w:rPr>
                <w:b/>
                <w:bCs/>
              </w:rPr>
            </w:pPr>
          </w:p>
        </w:tc>
        <w:tc>
          <w:tcPr>
            <w:tcW w:w="1570" w:type="dxa"/>
            <w:tcBorders>
              <w:bottom w:val="single" w:sz="4" w:space="0" w:color="auto"/>
            </w:tcBorders>
          </w:tcPr>
          <w:p w:rsidR="002743E3" w:rsidRDefault="002743E3" w:rsidP="00C272C9">
            <w:pPr>
              <w:jc w:val="center"/>
              <w:rPr>
                <w:b/>
                <w:bCs/>
              </w:rPr>
            </w:pPr>
            <w:r>
              <w:rPr>
                <w:b/>
                <w:bCs/>
              </w:rPr>
              <w:t>2008</w:t>
            </w:r>
          </w:p>
        </w:tc>
        <w:tc>
          <w:tcPr>
            <w:tcW w:w="238" w:type="dxa"/>
          </w:tcPr>
          <w:p w:rsidR="002743E3" w:rsidRDefault="002743E3">
            <w:pPr>
              <w:jc w:val="center"/>
              <w:rPr>
                <w:b/>
                <w:bCs/>
              </w:rPr>
            </w:pPr>
          </w:p>
        </w:tc>
        <w:tc>
          <w:tcPr>
            <w:tcW w:w="1570" w:type="dxa"/>
            <w:tcBorders>
              <w:bottom w:val="single" w:sz="4" w:space="0" w:color="auto"/>
            </w:tcBorders>
          </w:tcPr>
          <w:p w:rsidR="002743E3" w:rsidRDefault="002743E3" w:rsidP="00C272C9">
            <w:pPr>
              <w:jc w:val="center"/>
              <w:rPr>
                <w:b/>
                <w:bCs/>
              </w:rPr>
            </w:pPr>
            <w:r>
              <w:rPr>
                <w:b/>
                <w:bCs/>
              </w:rPr>
              <w:t>2009</w:t>
            </w:r>
          </w:p>
        </w:tc>
        <w:tc>
          <w:tcPr>
            <w:tcW w:w="236" w:type="dxa"/>
          </w:tcPr>
          <w:p w:rsidR="002743E3" w:rsidRDefault="002743E3">
            <w:pPr>
              <w:jc w:val="center"/>
              <w:rPr>
                <w:b/>
                <w:bCs/>
              </w:rPr>
            </w:pPr>
          </w:p>
        </w:tc>
      </w:tr>
      <w:tr w:rsidR="002743E3">
        <w:trPr>
          <w:cantSplit/>
        </w:trPr>
        <w:tc>
          <w:tcPr>
            <w:tcW w:w="381" w:type="dxa"/>
          </w:tcPr>
          <w:p w:rsidR="002743E3" w:rsidRDefault="002743E3"/>
        </w:tc>
        <w:tc>
          <w:tcPr>
            <w:tcW w:w="537" w:type="dxa"/>
            <w:vMerge w:val="restart"/>
            <w:vAlign w:val="center"/>
          </w:tcPr>
          <w:p w:rsidR="002743E3" w:rsidRDefault="002743E3">
            <w:r>
              <w:t>1.</w:t>
            </w:r>
          </w:p>
        </w:tc>
        <w:tc>
          <w:tcPr>
            <w:tcW w:w="3690" w:type="dxa"/>
          </w:tcPr>
          <w:p w:rsidR="002743E3" w:rsidRDefault="002743E3">
            <w:pPr>
              <w:pStyle w:val="Heading7"/>
            </w:pPr>
            <w:r>
              <w:t>Net income</w:t>
            </w:r>
          </w:p>
        </w:tc>
        <w:tc>
          <w:tcPr>
            <w:tcW w:w="1572" w:type="dxa"/>
            <w:vMerge w:val="restart"/>
            <w:tcBorders>
              <w:top w:val="single" w:sz="4" w:space="0" w:color="auto"/>
            </w:tcBorders>
            <w:vAlign w:val="center"/>
          </w:tcPr>
          <w:p w:rsidR="002743E3" w:rsidRDefault="002743E3">
            <w:pPr>
              <w:jc w:val="center"/>
            </w:pPr>
            <w:r>
              <w:t>4.52</w:t>
            </w:r>
          </w:p>
        </w:tc>
        <w:tc>
          <w:tcPr>
            <w:tcW w:w="236" w:type="dxa"/>
          </w:tcPr>
          <w:p w:rsidR="002743E3" w:rsidRDefault="002743E3"/>
        </w:tc>
        <w:tc>
          <w:tcPr>
            <w:tcW w:w="1570" w:type="dxa"/>
            <w:vMerge w:val="restart"/>
            <w:tcBorders>
              <w:top w:val="single" w:sz="4" w:space="0" w:color="auto"/>
            </w:tcBorders>
            <w:vAlign w:val="center"/>
          </w:tcPr>
          <w:p w:rsidR="002743E3" w:rsidRDefault="002743E3">
            <w:pPr>
              <w:jc w:val="center"/>
            </w:pPr>
            <w:r>
              <w:t>5.42%</w:t>
            </w:r>
          </w:p>
        </w:tc>
        <w:tc>
          <w:tcPr>
            <w:tcW w:w="238" w:type="dxa"/>
          </w:tcPr>
          <w:p w:rsidR="002743E3" w:rsidRDefault="002743E3"/>
        </w:tc>
        <w:tc>
          <w:tcPr>
            <w:tcW w:w="1570" w:type="dxa"/>
            <w:vMerge w:val="restart"/>
            <w:tcBorders>
              <w:top w:val="single" w:sz="4" w:space="0" w:color="auto"/>
            </w:tcBorders>
            <w:vAlign w:val="center"/>
          </w:tcPr>
          <w:p w:rsidR="002743E3" w:rsidRDefault="002743E3">
            <w:pPr>
              <w:jc w:val="center"/>
            </w:pPr>
            <w:r>
              <w:t>3.99%</w:t>
            </w:r>
          </w:p>
        </w:tc>
        <w:tc>
          <w:tcPr>
            <w:tcW w:w="236" w:type="dxa"/>
          </w:tcPr>
          <w:p w:rsidR="002743E3" w:rsidRDefault="002743E3"/>
        </w:tc>
      </w:tr>
      <w:tr w:rsidR="002743E3">
        <w:trPr>
          <w:cantSplit/>
        </w:trPr>
        <w:tc>
          <w:tcPr>
            <w:tcW w:w="381" w:type="dxa"/>
          </w:tcPr>
          <w:p w:rsidR="002743E3" w:rsidRDefault="002743E3"/>
        </w:tc>
        <w:tc>
          <w:tcPr>
            <w:tcW w:w="537" w:type="dxa"/>
            <w:vMerge/>
          </w:tcPr>
          <w:p w:rsidR="002743E3" w:rsidRDefault="002743E3"/>
        </w:tc>
        <w:tc>
          <w:tcPr>
            <w:tcW w:w="3690" w:type="dxa"/>
          </w:tcPr>
          <w:p w:rsidR="002743E3" w:rsidRDefault="002743E3">
            <w:r>
              <w:t>    Sales</w:t>
            </w:r>
          </w:p>
        </w:tc>
        <w:tc>
          <w:tcPr>
            <w:tcW w:w="1572" w:type="dxa"/>
            <w:vMerge/>
          </w:tcPr>
          <w:p w:rsidR="002743E3" w:rsidRDefault="002743E3">
            <w:pPr>
              <w:jc w:val="center"/>
            </w:pPr>
          </w:p>
        </w:tc>
        <w:tc>
          <w:tcPr>
            <w:tcW w:w="236" w:type="dxa"/>
          </w:tcPr>
          <w:p w:rsidR="002743E3" w:rsidRDefault="002743E3"/>
        </w:tc>
        <w:tc>
          <w:tcPr>
            <w:tcW w:w="1570" w:type="dxa"/>
            <w:vMerge/>
          </w:tcPr>
          <w:p w:rsidR="002743E3" w:rsidRDefault="002743E3">
            <w:pPr>
              <w:jc w:val="center"/>
            </w:pPr>
          </w:p>
        </w:tc>
        <w:tc>
          <w:tcPr>
            <w:tcW w:w="238" w:type="dxa"/>
          </w:tcPr>
          <w:p w:rsidR="002743E3" w:rsidRDefault="002743E3"/>
        </w:tc>
        <w:tc>
          <w:tcPr>
            <w:tcW w:w="1570" w:type="dxa"/>
            <w:vMerge/>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tc>
        <w:tc>
          <w:tcPr>
            <w:tcW w:w="537" w:type="dxa"/>
          </w:tcPr>
          <w:p w:rsidR="002743E3" w:rsidRDefault="002743E3"/>
        </w:tc>
        <w:tc>
          <w:tcPr>
            <w:tcW w:w="3690" w:type="dxa"/>
          </w:tcPr>
          <w:p w:rsidR="002743E3" w:rsidRDefault="002743E3"/>
        </w:tc>
        <w:tc>
          <w:tcPr>
            <w:tcW w:w="1572" w:type="dxa"/>
          </w:tcPr>
          <w:p w:rsidR="002743E3" w:rsidRDefault="002743E3">
            <w:pPr>
              <w:jc w:val="center"/>
            </w:pPr>
          </w:p>
        </w:tc>
        <w:tc>
          <w:tcPr>
            <w:tcW w:w="236" w:type="dxa"/>
          </w:tcPr>
          <w:p w:rsidR="002743E3" w:rsidRDefault="002743E3"/>
        </w:tc>
        <w:tc>
          <w:tcPr>
            <w:tcW w:w="1570" w:type="dxa"/>
          </w:tcPr>
          <w:p w:rsidR="002743E3" w:rsidRDefault="002743E3">
            <w:pPr>
              <w:jc w:val="center"/>
            </w:pPr>
          </w:p>
        </w:tc>
        <w:tc>
          <w:tcPr>
            <w:tcW w:w="238" w:type="dxa"/>
          </w:tcPr>
          <w:p w:rsidR="002743E3" w:rsidRDefault="002743E3"/>
        </w:tc>
        <w:tc>
          <w:tcPr>
            <w:tcW w:w="1570" w:type="dxa"/>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tc>
        <w:tc>
          <w:tcPr>
            <w:tcW w:w="537" w:type="dxa"/>
            <w:vMerge w:val="restart"/>
            <w:vAlign w:val="center"/>
          </w:tcPr>
          <w:p w:rsidR="002743E3" w:rsidRDefault="002743E3">
            <w:r>
              <w:t>2a.</w:t>
            </w:r>
          </w:p>
        </w:tc>
        <w:tc>
          <w:tcPr>
            <w:tcW w:w="3690" w:type="dxa"/>
          </w:tcPr>
          <w:p w:rsidR="002743E3" w:rsidRDefault="002743E3">
            <w:pPr>
              <w:pStyle w:val="Heading7"/>
            </w:pPr>
            <w:r>
              <w:t>Net income</w:t>
            </w:r>
          </w:p>
        </w:tc>
        <w:tc>
          <w:tcPr>
            <w:tcW w:w="1572" w:type="dxa"/>
            <w:vMerge w:val="restart"/>
            <w:vAlign w:val="center"/>
          </w:tcPr>
          <w:p w:rsidR="002743E3" w:rsidRDefault="002743E3">
            <w:pPr>
              <w:jc w:val="center"/>
            </w:pPr>
            <w:r>
              <w:t>6.09%</w:t>
            </w:r>
          </w:p>
        </w:tc>
        <w:tc>
          <w:tcPr>
            <w:tcW w:w="236" w:type="dxa"/>
            <w:vAlign w:val="center"/>
          </w:tcPr>
          <w:p w:rsidR="002743E3" w:rsidRDefault="002743E3"/>
        </w:tc>
        <w:tc>
          <w:tcPr>
            <w:tcW w:w="1570" w:type="dxa"/>
            <w:vMerge w:val="restart"/>
            <w:vAlign w:val="center"/>
          </w:tcPr>
          <w:p w:rsidR="002743E3" w:rsidRDefault="002743E3">
            <w:pPr>
              <w:jc w:val="center"/>
            </w:pPr>
            <w:r>
              <w:t>7.23%</w:t>
            </w:r>
          </w:p>
        </w:tc>
        <w:tc>
          <w:tcPr>
            <w:tcW w:w="238" w:type="dxa"/>
            <w:vAlign w:val="center"/>
          </w:tcPr>
          <w:p w:rsidR="002743E3" w:rsidRDefault="002743E3"/>
        </w:tc>
        <w:tc>
          <w:tcPr>
            <w:tcW w:w="1570" w:type="dxa"/>
            <w:vMerge w:val="restart"/>
            <w:vAlign w:val="center"/>
          </w:tcPr>
          <w:p w:rsidR="002743E3" w:rsidRDefault="002743E3">
            <w:pPr>
              <w:jc w:val="center"/>
            </w:pPr>
            <w:r>
              <w:t>5.71%</w:t>
            </w:r>
          </w:p>
        </w:tc>
        <w:tc>
          <w:tcPr>
            <w:tcW w:w="236" w:type="dxa"/>
          </w:tcPr>
          <w:p w:rsidR="002743E3" w:rsidRDefault="002743E3"/>
        </w:tc>
      </w:tr>
      <w:tr w:rsidR="002743E3">
        <w:trPr>
          <w:cantSplit/>
        </w:trPr>
        <w:tc>
          <w:tcPr>
            <w:tcW w:w="381" w:type="dxa"/>
          </w:tcPr>
          <w:p w:rsidR="002743E3" w:rsidRDefault="002743E3"/>
        </w:tc>
        <w:tc>
          <w:tcPr>
            <w:tcW w:w="537" w:type="dxa"/>
            <w:vMerge/>
          </w:tcPr>
          <w:p w:rsidR="002743E3" w:rsidRDefault="002743E3"/>
        </w:tc>
        <w:tc>
          <w:tcPr>
            <w:tcW w:w="3690" w:type="dxa"/>
          </w:tcPr>
          <w:p w:rsidR="002743E3" w:rsidRDefault="002743E3">
            <w:r>
              <w:t>Total assets</w:t>
            </w:r>
          </w:p>
        </w:tc>
        <w:tc>
          <w:tcPr>
            <w:tcW w:w="1572" w:type="dxa"/>
            <w:vMerge/>
          </w:tcPr>
          <w:p w:rsidR="002743E3" w:rsidRDefault="002743E3">
            <w:pPr>
              <w:jc w:val="center"/>
            </w:pPr>
          </w:p>
        </w:tc>
        <w:tc>
          <w:tcPr>
            <w:tcW w:w="236" w:type="dxa"/>
          </w:tcPr>
          <w:p w:rsidR="002743E3" w:rsidRDefault="002743E3"/>
        </w:tc>
        <w:tc>
          <w:tcPr>
            <w:tcW w:w="1570" w:type="dxa"/>
            <w:vMerge/>
          </w:tcPr>
          <w:p w:rsidR="002743E3" w:rsidRDefault="002743E3">
            <w:pPr>
              <w:jc w:val="center"/>
            </w:pPr>
          </w:p>
        </w:tc>
        <w:tc>
          <w:tcPr>
            <w:tcW w:w="238" w:type="dxa"/>
          </w:tcPr>
          <w:p w:rsidR="002743E3" w:rsidRDefault="002743E3"/>
        </w:tc>
        <w:tc>
          <w:tcPr>
            <w:tcW w:w="1570" w:type="dxa"/>
            <w:vMerge/>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tc>
        <w:tc>
          <w:tcPr>
            <w:tcW w:w="537" w:type="dxa"/>
          </w:tcPr>
          <w:p w:rsidR="002743E3" w:rsidRDefault="002743E3"/>
        </w:tc>
        <w:tc>
          <w:tcPr>
            <w:tcW w:w="3690" w:type="dxa"/>
          </w:tcPr>
          <w:p w:rsidR="002743E3" w:rsidRDefault="002743E3"/>
        </w:tc>
        <w:tc>
          <w:tcPr>
            <w:tcW w:w="1572" w:type="dxa"/>
          </w:tcPr>
          <w:p w:rsidR="002743E3" w:rsidRDefault="002743E3">
            <w:pPr>
              <w:jc w:val="center"/>
            </w:pPr>
          </w:p>
        </w:tc>
        <w:tc>
          <w:tcPr>
            <w:tcW w:w="236" w:type="dxa"/>
          </w:tcPr>
          <w:p w:rsidR="002743E3" w:rsidRDefault="002743E3"/>
        </w:tc>
        <w:tc>
          <w:tcPr>
            <w:tcW w:w="1570" w:type="dxa"/>
          </w:tcPr>
          <w:p w:rsidR="002743E3" w:rsidRDefault="002743E3">
            <w:pPr>
              <w:jc w:val="center"/>
            </w:pPr>
          </w:p>
        </w:tc>
        <w:tc>
          <w:tcPr>
            <w:tcW w:w="238" w:type="dxa"/>
          </w:tcPr>
          <w:p w:rsidR="002743E3" w:rsidRDefault="002743E3"/>
        </w:tc>
        <w:tc>
          <w:tcPr>
            <w:tcW w:w="1570" w:type="dxa"/>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tc>
        <w:tc>
          <w:tcPr>
            <w:tcW w:w="537" w:type="dxa"/>
          </w:tcPr>
          <w:p w:rsidR="002743E3" w:rsidRDefault="002743E3">
            <w:r>
              <w:t xml:space="preserve">  b.</w:t>
            </w:r>
          </w:p>
        </w:tc>
        <w:tc>
          <w:tcPr>
            <w:tcW w:w="3690" w:type="dxa"/>
          </w:tcPr>
          <w:p w:rsidR="002743E3" w:rsidRDefault="002743E3">
            <w:r>
              <w:t>Net income sales x sales / total assets</w:t>
            </w:r>
          </w:p>
        </w:tc>
        <w:tc>
          <w:tcPr>
            <w:tcW w:w="1572" w:type="dxa"/>
          </w:tcPr>
          <w:p w:rsidR="002743E3" w:rsidRDefault="002743E3">
            <w:pPr>
              <w:jc w:val="center"/>
            </w:pPr>
            <w:r>
              <w:t>4.52 x 1.35</w:t>
            </w:r>
          </w:p>
        </w:tc>
        <w:tc>
          <w:tcPr>
            <w:tcW w:w="236" w:type="dxa"/>
          </w:tcPr>
          <w:p w:rsidR="002743E3" w:rsidRDefault="002743E3"/>
        </w:tc>
        <w:tc>
          <w:tcPr>
            <w:tcW w:w="1570" w:type="dxa"/>
          </w:tcPr>
          <w:p w:rsidR="002743E3" w:rsidRDefault="002743E3">
            <w:pPr>
              <w:jc w:val="center"/>
            </w:pPr>
            <w:r>
              <w:t>5.42% x 1.33</w:t>
            </w:r>
          </w:p>
        </w:tc>
        <w:tc>
          <w:tcPr>
            <w:tcW w:w="238" w:type="dxa"/>
          </w:tcPr>
          <w:p w:rsidR="002743E3" w:rsidRDefault="002743E3"/>
        </w:tc>
        <w:tc>
          <w:tcPr>
            <w:tcW w:w="1570" w:type="dxa"/>
          </w:tcPr>
          <w:p w:rsidR="002743E3" w:rsidRDefault="002743E3">
            <w:pPr>
              <w:jc w:val="center"/>
            </w:pPr>
            <w:r>
              <w:t>3.99% x 1.43</w:t>
            </w:r>
          </w:p>
        </w:tc>
        <w:tc>
          <w:tcPr>
            <w:tcW w:w="236" w:type="dxa"/>
          </w:tcPr>
          <w:p w:rsidR="002743E3" w:rsidRDefault="002743E3"/>
        </w:tc>
      </w:tr>
      <w:tr w:rsidR="002743E3">
        <w:trPr>
          <w:cantSplit/>
        </w:trPr>
        <w:tc>
          <w:tcPr>
            <w:tcW w:w="381" w:type="dxa"/>
          </w:tcPr>
          <w:p w:rsidR="002743E3" w:rsidRDefault="002743E3"/>
        </w:tc>
        <w:tc>
          <w:tcPr>
            <w:tcW w:w="537" w:type="dxa"/>
          </w:tcPr>
          <w:p w:rsidR="002743E3" w:rsidRDefault="002743E3"/>
        </w:tc>
        <w:tc>
          <w:tcPr>
            <w:tcW w:w="3690" w:type="dxa"/>
          </w:tcPr>
          <w:p w:rsidR="002743E3" w:rsidRDefault="002743E3"/>
        </w:tc>
        <w:tc>
          <w:tcPr>
            <w:tcW w:w="1572" w:type="dxa"/>
          </w:tcPr>
          <w:p w:rsidR="002743E3" w:rsidRDefault="002743E3">
            <w:pPr>
              <w:jc w:val="center"/>
            </w:pPr>
          </w:p>
        </w:tc>
        <w:tc>
          <w:tcPr>
            <w:tcW w:w="236" w:type="dxa"/>
          </w:tcPr>
          <w:p w:rsidR="002743E3" w:rsidRDefault="002743E3"/>
        </w:tc>
        <w:tc>
          <w:tcPr>
            <w:tcW w:w="1570" w:type="dxa"/>
          </w:tcPr>
          <w:p w:rsidR="002743E3" w:rsidRDefault="002743E3">
            <w:pPr>
              <w:jc w:val="center"/>
            </w:pPr>
          </w:p>
        </w:tc>
        <w:tc>
          <w:tcPr>
            <w:tcW w:w="238" w:type="dxa"/>
          </w:tcPr>
          <w:p w:rsidR="002743E3" w:rsidRDefault="002743E3"/>
        </w:tc>
        <w:tc>
          <w:tcPr>
            <w:tcW w:w="1570" w:type="dxa"/>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tc>
        <w:tc>
          <w:tcPr>
            <w:tcW w:w="537" w:type="dxa"/>
            <w:vMerge w:val="restart"/>
            <w:vAlign w:val="center"/>
          </w:tcPr>
          <w:p w:rsidR="002743E3" w:rsidRDefault="002743E3">
            <w:r>
              <w:t>3a.</w:t>
            </w:r>
          </w:p>
        </w:tc>
        <w:tc>
          <w:tcPr>
            <w:tcW w:w="3690" w:type="dxa"/>
          </w:tcPr>
          <w:p w:rsidR="002743E3" w:rsidRDefault="002743E3">
            <w:pPr>
              <w:pStyle w:val="Heading7"/>
            </w:pPr>
            <w:r>
              <w:t>       Net income       </w:t>
            </w:r>
          </w:p>
        </w:tc>
        <w:tc>
          <w:tcPr>
            <w:tcW w:w="1572" w:type="dxa"/>
            <w:vMerge w:val="restart"/>
            <w:vAlign w:val="center"/>
          </w:tcPr>
          <w:p w:rsidR="002743E3" w:rsidRDefault="002743E3">
            <w:pPr>
              <w:jc w:val="center"/>
            </w:pPr>
            <w:r>
              <w:t>16.04%</w:t>
            </w:r>
          </w:p>
        </w:tc>
        <w:tc>
          <w:tcPr>
            <w:tcW w:w="236" w:type="dxa"/>
            <w:vAlign w:val="center"/>
          </w:tcPr>
          <w:p w:rsidR="002743E3" w:rsidRDefault="002743E3"/>
        </w:tc>
        <w:tc>
          <w:tcPr>
            <w:tcW w:w="1570" w:type="dxa"/>
            <w:vMerge w:val="restart"/>
            <w:vAlign w:val="center"/>
          </w:tcPr>
          <w:p w:rsidR="002743E3" w:rsidRDefault="002743E3">
            <w:pPr>
              <w:jc w:val="center"/>
            </w:pPr>
            <w:r>
              <w:t>18.55%</w:t>
            </w:r>
          </w:p>
        </w:tc>
        <w:tc>
          <w:tcPr>
            <w:tcW w:w="238" w:type="dxa"/>
            <w:vAlign w:val="center"/>
          </w:tcPr>
          <w:p w:rsidR="002743E3" w:rsidRDefault="002743E3"/>
        </w:tc>
        <w:tc>
          <w:tcPr>
            <w:tcW w:w="1570" w:type="dxa"/>
            <w:vMerge w:val="restart"/>
            <w:vAlign w:val="center"/>
          </w:tcPr>
          <w:p w:rsidR="002743E3" w:rsidRDefault="002743E3">
            <w:pPr>
              <w:jc w:val="center"/>
            </w:pPr>
            <w:r>
              <w:t>15.02%</w:t>
            </w:r>
          </w:p>
        </w:tc>
        <w:tc>
          <w:tcPr>
            <w:tcW w:w="236" w:type="dxa"/>
          </w:tcPr>
          <w:p w:rsidR="002743E3" w:rsidRDefault="002743E3"/>
        </w:tc>
      </w:tr>
      <w:tr w:rsidR="002743E3">
        <w:trPr>
          <w:cantSplit/>
        </w:trPr>
        <w:tc>
          <w:tcPr>
            <w:tcW w:w="381" w:type="dxa"/>
          </w:tcPr>
          <w:p w:rsidR="002743E3" w:rsidRDefault="002743E3"/>
        </w:tc>
        <w:tc>
          <w:tcPr>
            <w:tcW w:w="537" w:type="dxa"/>
            <w:vMerge/>
            <w:vAlign w:val="center"/>
          </w:tcPr>
          <w:p w:rsidR="002743E3" w:rsidRDefault="002743E3"/>
        </w:tc>
        <w:tc>
          <w:tcPr>
            <w:tcW w:w="3690" w:type="dxa"/>
          </w:tcPr>
          <w:p w:rsidR="002743E3" w:rsidRDefault="002743E3">
            <w:r>
              <w:t>Stockholder's equity</w:t>
            </w:r>
          </w:p>
        </w:tc>
        <w:tc>
          <w:tcPr>
            <w:tcW w:w="1572" w:type="dxa"/>
            <w:vMerge/>
          </w:tcPr>
          <w:p w:rsidR="002743E3" w:rsidRDefault="002743E3">
            <w:pPr>
              <w:jc w:val="center"/>
            </w:pPr>
          </w:p>
        </w:tc>
        <w:tc>
          <w:tcPr>
            <w:tcW w:w="236" w:type="dxa"/>
          </w:tcPr>
          <w:p w:rsidR="002743E3" w:rsidRDefault="002743E3"/>
        </w:tc>
        <w:tc>
          <w:tcPr>
            <w:tcW w:w="1570" w:type="dxa"/>
            <w:vMerge/>
          </w:tcPr>
          <w:p w:rsidR="002743E3" w:rsidRDefault="002743E3">
            <w:pPr>
              <w:jc w:val="center"/>
            </w:pPr>
          </w:p>
        </w:tc>
        <w:tc>
          <w:tcPr>
            <w:tcW w:w="238" w:type="dxa"/>
          </w:tcPr>
          <w:p w:rsidR="002743E3" w:rsidRDefault="002743E3"/>
        </w:tc>
        <w:tc>
          <w:tcPr>
            <w:tcW w:w="1570" w:type="dxa"/>
            <w:vMerge/>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tc>
        <w:tc>
          <w:tcPr>
            <w:tcW w:w="537" w:type="dxa"/>
            <w:vAlign w:val="center"/>
          </w:tcPr>
          <w:p w:rsidR="002743E3" w:rsidRDefault="002743E3"/>
        </w:tc>
        <w:tc>
          <w:tcPr>
            <w:tcW w:w="3690" w:type="dxa"/>
          </w:tcPr>
          <w:p w:rsidR="002743E3" w:rsidRDefault="002743E3"/>
        </w:tc>
        <w:tc>
          <w:tcPr>
            <w:tcW w:w="1572" w:type="dxa"/>
          </w:tcPr>
          <w:p w:rsidR="002743E3" w:rsidRDefault="002743E3">
            <w:pPr>
              <w:jc w:val="center"/>
            </w:pPr>
          </w:p>
        </w:tc>
        <w:tc>
          <w:tcPr>
            <w:tcW w:w="236" w:type="dxa"/>
          </w:tcPr>
          <w:p w:rsidR="002743E3" w:rsidRDefault="002743E3"/>
        </w:tc>
        <w:tc>
          <w:tcPr>
            <w:tcW w:w="1570" w:type="dxa"/>
          </w:tcPr>
          <w:p w:rsidR="002743E3" w:rsidRDefault="002743E3">
            <w:pPr>
              <w:jc w:val="center"/>
            </w:pPr>
          </w:p>
        </w:tc>
        <w:tc>
          <w:tcPr>
            <w:tcW w:w="238" w:type="dxa"/>
          </w:tcPr>
          <w:p w:rsidR="002743E3" w:rsidRDefault="002743E3"/>
        </w:tc>
        <w:tc>
          <w:tcPr>
            <w:tcW w:w="1570" w:type="dxa"/>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tc>
        <w:tc>
          <w:tcPr>
            <w:tcW w:w="537" w:type="dxa"/>
            <w:vMerge w:val="restart"/>
            <w:vAlign w:val="center"/>
          </w:tcPr>
          <w:p w:rsidR="002743E3" w:rsidRDefault="002743E3">
            <w:r>
              <w:t xml:space="preserve">  b.</w:t>
            </w:r>
          </w:p>
        </w:tc>
        <w:tc>
          <w:tcPr>
            <w:tcW w:w="3690" w:type="dxa"/>
          </w:tcPr>
          <w:p w:rsidR="002743E3" w:rsidRDefault="002743E3">
            <w:pPr>
              <w:pStyle w:val="Heading7"/>
            </w:pPr>
            <w:r>
              <w:t>Net income / total assets</w:t>
            </w:r>
          </w:p>
        </w:tc>
        <w:tc>
          <w:tcPr>
            <w:tcW w:w="1572" w:type="dxa"/>
          </w:tcPr>
          <w:p w:rsidR="002743E3" w:rsidRDefault="002743E3">
            <w:pPr>
              <w:jc w:val="center"/>
              <w:rPr>
                <w:u w:val="single"/>
              </w:rPr>
            </w:pPr>
            <w:r>
              <w:rPr>
                <w:u w:val="single"/>
              </w:rPr>
              <w:t>  6.09%  </w:t>
            </w:r>
          </w:p>
        </w:tc>
        <w:tc>
          <w:tcPr>
            <w:tcW w:w="236" w:type="dxa"/>
          </w:tcPr>
          <w:p w:rsidR="002743E3" w:rsidRDefault="002743E3"/>
        </w:tc>
        <w:tc>
          <w:tcPr>
            <w:tcW w:w="1570" w:type="dxa"/>
          </w:tcPr>
          <w:p w:rsidR="002743E3" w:rsidRDefault="002743E3">
            <w:pPr>
              <w:jc w:val="center"/>
              <w:rPr>
                <w:u w:val="single"/>
              </w:rPr>
            </w:pPr>
            <w:r>
              <w:rPr>
                <w:u w:val="single"/>
              </w:rPr>
              <w:t>  7.23%  </w:t>
            </w:r>
          </w:p>
        </w:tc>
        <w:tc>
          <w:tcPr>
            <w:tcW w:w="238" w:type="dxa"/>
          </w:tcPr>
          <w:p w:rsidR="002743E3" w:rsidRDefault="002743E3"/>
        </w:tc>
        <w:tc>
          <w:tcPr>
            <w:tcW w:w="1570" w:type="dxa"/>
          </w:tcPr>
          <w:p w:rsidR="002743E3" w:rsidRDefault="002743E3">
            <w:pPr>
              <w:jc w:val="center"/>
              <w:rPr>
                <w:u w:val="single"/>
              </w:rPr>
            </w:pPr>
            <w:r>
              <w:rPr>
                <w:u w:val="single"/>
              </w:rPr>
              <w:t>  5.71%  </w:t>
            </w:r>
          </w:p>
        </w:tc>
        <w:tc>
          <w:tcPr>
            <w:tcW w:w="236" w:type="dxa"/>
          </w:tcPr>
          <w:p w:rsidR="002743E3" w:rsidRDefault="002743E3"/>
        </w:tc>
      </w:tr>
      <w:tr w:rsidR="002743E3">
        <w:trPr>
          <w:cantSplit/>
        </w:trPr>
        <w:tc>
          <w:tcPr>
            <w:tcW w:w="381" w:type="dxa"/>
          </w:tcPr>
          <w:p w:rsidR="002743E3" w:rsidRDefault="002743E3"/>
        </w:tc>
        <w:tc>
          <w:tcPr>
            <w:tcW w:w="537" w:type="dxa"/>
            <w:vMerge/>
          </w:tcPr>
          <w:p w:rsidR="002743E3" w:rsidRDefault="002743E3"/>
        </w:tc>
        <w:tc>
          <w:tcPr>
            <w:tcW w:w="3690" w:type="dxa"/>
          </w:tcPr>
          <w:p w:rsidR="002743E3" w:rsidRDefault="002743E3">
            <w:r>
              <w:t>(1 – debt / total assets)</w:t>
            </w:r>
          </w:p>
        </w:tc>
        <w:tc>
          <w:tcPr>
            <w:tcW w:w="1572" w:type="dxa"/>
          </w:tcPr>
          <w:p w:rsidR="002743E3" w:rsidRDefault="002743E3">
            <w:pPr>
              <w:jc w:val="center"/>
            </w:pPr>
            <w:r>
              <w:t>(1 – .620)</w:t>
            </w:r>
          </w:p>
        </w:tc>
        <w:tc>
          <w:tcPr>
            <w:tcW w:w="236" w:type="dxa"/>
          </w:tcPr>
          <w:p w:rsidR="002743E3" w:rsidRDefault="002743E3"/>
        </w:tc>
        <w:tc>
          <w:tcPr>
            <w:tcW w:w="1570" w:type="dxa"/>
          </w:tcPr>
          <w:p w:rsidR="002743E3" w:rsidRDefault="002743E3">
            <w:pPr>
              <w:jc w:val="center"/>
            </w:pPr>
            <w:r>
              <w:t>(1 – .610)</w:t>
            </w:r>
          </w:p>
        </w:tc>
        <w:tc>
          <w:tcPr>
            <w:tcW w:w="238" w:type="dxa"/>
          </w:tcPr>
          <w:p w:rsidR="002743E3" w:rsidRDefault="002743E3"/>
        </w:tc>
        <w:tc>
          <w:tcPr>
            <w:tcW w:w="1570" w:type="dxa"/>
          </w:tcPr>
          <w:p w:rsidR="002743E3" w:rsidRDefault="002743E3">
            <w:pPr>
              <w:jc w:val="center"/>
            </w:pPr>
            <w:r>
              <w:t>(1 – .620)</w:t>
            </w:r>
          </w:p>
        </w:tc>
        <w:tc>
          <w:tcPr>
            <w:tcW w:w="236" w:type="dxa"/>
          </w:tcPr>
          <w:p w:rsidR="002743E3" w:rsidRDefault="002743E3"/>
        </w:tc>
      </w:tr>
      <w:tr w:rsidR="002743E3">
        <w:trPr>
          <w:cantSplit/>
        </w:trPr>
        <w:tc>
          <w:tcPr>
            <w:tcW w:w="381" w:type="dxa"/>
          </w:tcPr>
          <w:p w:rsidR="002743E3" w:rsidRDefault="002743E3"/>
        </w:tc>
        <w:tc>
          <w:tcPr>
            <w:tcW w:w="537" w:type="dxa"/>
            <w:vAlign w:val="center"/>
          </w:tcPr>
          <w:p w:rsidR="002743E3" w:rsidRDefault="002743E3"/>
        </w:tc>
        <w:tc>
          <w:tcPr>
            <w:tcW w:w="3690" w:type="dxa"/>
          </w:tcPr>
          <w:p w:rsidR="002743E3" w:rsidRDefault="002743E3"/>
        </w:tc>
        <w:tc>
          <w:tcPr>
            <w:tcW w:w="1572" w:type="dxa"/>
          </w:tcPr>
          <w:p w:rsidR="002743E3" w:rsidRDefault="002743E3">
            <w:pPr>
              <w:jc w:val="center"/>
            </w:pPr>
          </w:p>
        </w:tc>
        <w:tc>
          <w:tcPr>
            <w:tcW w:w="236" w:type="dxa"/>
          </w:tcPr>
          <w:p w:rsidR="002743E3" w:rsidRDefault="002743E3"/>
        </w:tc>
        <w:tc>
          <w:tcPr>
            <w:tcW w:w="1570" w:type="dxa"/>
          </w:tcPr>
          <w:p w:rsidR="002743E3" w:rsidRDefault="002743E3">
            <w:pPr>
              <w:jc w:val="center"/>
            </w:pPr>
          </w:p>
        </w:tc>
        <w:tc>
          <w:tcPr>
            <w:tcW w:w="238" w:type="dxa"/>
          </w:tcPr>
          <w:p w:rsidR="002743E3" w:rsidRDefault="002743E3"/>
        </w:tc>
        <w:tc>
          <w:tcPr>
            <w:tcW w:w="1570" w:type="dxa"/>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r>
              <w:t>2.</w:t>
            </w:r>
          </w:p>
        </w:tc>
        <w:tc>
          <w:tcPr>
            <w:tcW w:w="9649" w:type="dxa"/>
            <w:gridSpan w:val="8"/>
            <w:vAlign w:val="center"/>
          </w:tcPr>
          <w:p w:rsidR="002743E3" w:rsidRDefault="002743E3" w:rsidP="00C272C9">
            <w:proofErr w:type="spellStart"/>
            <w:r>
              <w:t>Harrod's</w:t>
            </w:r>
            <w:proofErr w:type="spellEnd"/>
            <w:r>
              <w:t xml:space="preserve"> has suffered a sharp decline in its profit margin, particularly between 2008 and 2009 (5.42% down to 3.99%). Return on assets is also down, but not quite as much due to a slight increase in asset turnover. Return on stockholders' equity is also down.</w:t>
            </w:r>
          </w:p>
        </w:tc>
      </w:tr>
      <w:tr w:rsidR="002743E3">
        <w:trPr>
          <w:cantSplit/>
        </w:trPr>
        <w:tc>
          <w:tcPr>
            <w:tcW w:w="381" w:type="dxa"/>
          </w:tcPr>
          <w:p w:rsidR="002743E3" w:rsidRDefault="002743E3">
            <w:r>
              <w:t>3.</w:t>
            </w:r>
          </w:p>
        </w:tc>
        <w:tc>
          <w:tcPr>
            <w:tcW w:w="4227" w:type="dxa"/>
            <w:gridSpan w:val="2"/>
          </w:tcPr>
          <w:p w:rsidR="002743E3" w:rsidRDefault="002743E3"/>
        </w:tc>
        <w:tc>
          <w:tcPr>
            <w:tcW w:w="1572" w:type="dxa"/>
            <w:tcBorders>
              <w:bottom w:val="single" w:sz="4" w:space="0" w:color="auto"/>
            </w:tcBorders>
          </w:tcPr>
          <w:p w:rsidR="002743E3" w:rsidRDefault="002743E3" w:rsidP="00C272C9">
            <w:pPr>
              <w:jc w:val="center"/>
              <w:rPr>
                <w:b/>
                <w:bCs/>
              </w:rPr>
            </w:pPr>
            <w:r>
              <w:rPr>
                <w:b/>
                <w:bCs/>
              </w:rPr>
              <w:t>2007</w:t>
            </w:r>
          </w:p>
        </w:tc>
        <w:tc>
          <w:tcPr>
            <w:tcW w:w="236" w:type="dxa"/>
          </w:tcPr>
          <w:p w:rsidR="002743E3" w:rsidRDefault="002743E3">
            <w:pPr>
              <w:jc w:val="center"/>
              <w:rPr>
                <w:b/>
                <w:bCs/>
              </w:rPr>
            </w:pPr>
          </w:p>
        </w:tc>
        <w:tc>
          <w:tcPr>
            <w:tcW w:w="1570" w:type="dxa"/>
            <w:tcBorders>
              <w:bottom w:val="single" w:sz="4" w:space="0" w:color="auto"/>
            </w:tcBorders>
          </w:tcPr>
          <w:p w:rsidR="002743E3" w:rsidRDefault="002743E3" w:rsidP="00C272C9">
            <w:pPr>
              <w:jc w:val="center"/>
              <w:rPr>
                <w:b/>
                <w:bCs/>
              </w:rPr>
            </w:pPr>
            <w:r>
              <w:rPr>
                <w:b/>
                <w:bCs/>
              </w:rPr>
              <w:t>2008</w:t>
            </w:r>
          </w:p>
        </w:tc>
        <w:tc>
          <w:tcPr>
            <w:tcW w:w="238" w:type="dxa"/>
          </w:tcPr>
          <w:p w:rsidR="002743E3" w:rsidRDefault="002743E3">
            <w:pPr>
              <w:jc w:val="center"/>
              <w:rPr>
                <w:b/>
                <w:bCs/>
              </w:rPr>
            </w:pPr>
          </w:p>
        </w:tc>
        <w:tc>
          <w:tcPr>
            <w:tcW w:w="1570" w:type="dxa"/>
            <w:tcBorders>
              <w:bottom w:val="single" w:sz="4" w:space="0" w:color="auto"/>
            </w:tcBorders>
          </w:tcPr>
          <w:p w:rsidR="002743E3" w:rsidRDefault="002743E3" w:rsidP="00C272C9">
            <w:pPr>
              <w:jc w:val="center"/>
              <w:rPr>
                <w:b/>
                <w:bCs/>
              </w:rPr>
            </w:pPr>
            <w:r>
              <w:rPr>
                <w:b/>
                <w:bCs/>
              </w:rPr>
              <w:t>2009</w:t>
            </w:r>
          </w:p>
        </w:tc>
        <w:tc>
          <w:tcPr>
            <w:tcW w:w="236" w:type="dxa"/>
          </w:tcPr>
          <w:p w:rsidR="002743E3" w:rsidRDefault="002743E3">
            <w:pPr>
              <w:jc w:val="center"/>
              <w:rPr>
                <w:b/>
                <w:bCs/>
              </w:rPr>
            </w:pPr>
          </w:p>
        </w:tc>
      </w:tr>
      <w:tr w:rsidR="002743E3">
        <w:trPr>
          <w:cantSplit/>
        </w:trPr>
        <w:tc>
          <w:tcPr>
            <w:tcW w:w="381" w:type="dxa"/>
          </w:tcPr>
          <w:p w:rsidR="002743E3" w:rsidRDefault="002743E3"/>
        </w:tc>
        <w:tc>
          <w:tcPr>
            <w:tcW w:w="537" w:type="dxa"/>
            <w:vMerge w:val="restart"/>
            <w:vAlign w:val="center"/>
          </w:tcPr>
          <w:p w:rsidR="002743E3" w:rsidRDefault="002743E3">
            <w:r>
              <w:t>1.</w:t>
            </w:r>
          </w:p>
        </w:tc>
        <w:tc>
          <w:tcPr>
            <w:tcW w:w="3690" w:type="dxa"/>
          </w:tcPr>
          <w:p w:rsidR="002743E3" w:rsidRDefault="002743E3">
            <w:pPr>
              <w:pStyle w:val="Heading7"/>
            </w:pPr>
            <w:r>
              <w:t>Net income</w:t>
            </w:r>
          </w:p>
        </w:tc>
        <w:tc>
          <w:tcPr>
            <w:tcW w:w="1572" w:type="dxa"/>
            <w:vMerge w:val="restart"/>
            <w:tcBorders>
              <w:top w:val="single" w:sz="4" w:space="0" w:color="auto"/>
            </w:tcBorders>
            <w:vAlign w:val="center"/>
          </w:tcPr>
          <w:p w:rsidR="002743E3" w:rsidRDefault="002743E3">
            <w:pPr>
              <w:jc w:val="center"/>
            </w:pPr>
            <w:r>
              <w:t>4.522</w:t>
            </w:r>
          </w:p>
        </w:tc>
        <w:tc>
          <w:tcPr>
            <w:tcW w:w="236" w:type="dxa"/>
          </w:tcPr>
          <w:p w:rsidR="002743E3" w:rsidRDefault="002743E3"/>
        </w:tc>
        <w:tc>
          <w:tcPr>
            <w:tcW w:w="1570" w:type="dxa"/>
            <w:vMerge w:val="restart"/>
            <w:tcBorders>
              <w:top w:val="single" w:sz="4" w:space="0" w:color="auto"/>
            </w:tcBorders>
            <w:vAlign w:val="center"/>
          </w:tcPr>
          <w:p w:rsidR="002743E3" w:rsidRDefault="002743E3">
            <w:pPr>
              <w:jc w:val="center"/>
            </w:pPr>
            <w:r>
              <w:t>5.42%</w:t>
            </w:r>
          </w:p>
        </w:tc>
        <w:tc>
          <w:tcPr>
            <w:tcW w:w="238" w:type="dxa"/>
          </w:tcPr>
          <w:p w:rsidR="002743E3" w:rsidRDefault="002743E3"/>
        </w:tc>
        <w:tc>
          <w:tcPr>
            <w:tcW w:w="1570" w:type="dxa"/>
            <w:vMerge w:val="restart"/>
            <w:tcBorders>
              <w:top w:val="single" w:sz="4" w:space="0" w:color="auto"/>
            </w:tcBorders>
            <w:vAlign w:val="center"/>
          </w:tcPr>
          <w:p w:rsidR="002743E3" w:rsidRDefault="002743E3">
            <w:pPr>
              <w:jc w:val="center"/>
              <w:rPr>
                <w:b/>
                <w:bCs/>
              </w:rPr>
            </w:pPr>
            <w:r>
              <w:rPr>
                <w:b/>
                <w:bCs/>
              </w:rPr>
              <w:t>6.19%</w:t>
            </w:r>
          </w:p>
        </w:tc>
        <w:tc>
          <w:tcPr>
            <w:tcW w:w="236" w:type="dxa"/>
          </w:tcPr>
          <w:p w:rsidR="002743E3" w:rsidRDefault="002743E3"/>
        </w:tc>
      </w:tr>
      <w:tr w:rsidR="002743E3">
        <w:trPr>
          <w:cantSplit/>
        </w:trPr>
        <w:tc>
          <w:tcPr>
            <w:tcW w:w="381" w:type="dxa"/>
          </w:tcPr>
          <w:p w:rsidR="002743E3" w:rsidRDefault="002743E3"/>
        </w:tc>
        <w:tc>
          <w:tcPr>
            <w:tcW w:w="537" w:type="dxa"/>
            <w:vMerge/>
          </w:tcPr>
          <w:p w:rsidR="002743E3" w:rsidRDefault="002743E3"/>
        </w:tc>
        <w:tc>
          <w:tcPr>
            <w:tcW w:w="3690" w:type="dxa"/>
          </w:tcPr>
          <w:p w:rsidR="002743E3" w:rsidRDefault="002743E3">
            <w:r>
              <w:t>    Sales</w:t>
            </w:r>
          </w:p>
        </w:tc>
        <w:tc>
          <w:tcPr>
            <w:tcW w:w="1572" w:type="dxa"/>
            <w:vMerge/>
          </w:tcPr>
          <w:p w:rsidR="002743E3" w:rsidRDefault="002743E3">
            <w:pPr>
              <w:jc w:val="center"/>
            </w:pPr>
          </w:p>
        </w:tc>
        <w:tc>
          <w:tcPr>
            <w:tcW w:w="236" w:type="dxa"/>
          </w:tcPr>
          <w:p w:rsidR="002743E3" w:rsidRDefault="002743E3"/>
        </w:tc>
        <w:tc>
          <w:tcPr>
            <w:tcW w:w="1570" w:type="dxa"/>
            <w:vMerge/>
          </w:tcPr>
          <w:p w:rsidR="002743E3" w:rsidRDefault="002743E3">
            <w:pPr>
              <w:jc w:val="center"/>
            </w:pPr>
          </w:p>
        </w:tc>
        <w:tc>
          <w:tcPr>
            <w:tcW w:w="238" w:type="dxa"/>
          </w:tcPr>
          <w:p w:rsidR="002743E3" w:rsidRDefault="002743E3"/>
        </w:tc>
        <w:tc>
          <w:tcPr>
            <w:tcW w:w="1570" w:type="dxa"/>
            <w:vMerge/>
          </w:tcPr>
          <w:p w:rsidR="002743E3" w:rsidRDefault="002743E3">
            <w:pPr>
              <w:jc w:val="center"/>
              <w:rPr>
                <w:b/>
                <w:bCs/>
              </w:rPr>
            </w:pPr>
          </w:p>
        </w:tc>
        <w:tc>
          <w:tcPr>
            <w:tcW w:w="236" w:type="dxa"/>
          </w:tcPr>
          <w:p w:rsidR="002743E3" w:rsidRDefault="002743E3"/>
        </w:tc>
      </w:tr>
      <w:tr w:rsidR="002743E3">
        <w:trPr>
          <w:cantSplit/>
        </w:trPr>
        <w:tc>
          <w:tcPr>
            <w:tcW w:w="381" w:type="dxa"/>
          </w:tcPr>
          <w:p w:rsidR="002743E3" w:rsidRDefault="002743E3"/>
        </w:tc>
        <w:tc>
          <w:tcPr>
            <w:tcW w:w="537" w:type="dxa"/>
          </w:tcPr>
          <w:p w:rsidR="002743E3" w:rsidRDefault="002743E3"/>
        </w:tc>
        <w:tc>
          <w:tcPr>
            <w:tcW w:w="3690" w:type="dxa"/>
          </w:tcPr>
          <w:p w:rsidR="002743E3" w:rsidRDefault="002743E3"/>
        </w:tc>
        <w:tc>
          <w:tcPr>
            <w:tcW w:w="1572" w:type="dxa"/>
          </w:tcPr>
          <w:p w:rsidR="002743E3" w:rsidRDefault="002743E3">
            <w:pPr>
              <w:jc w:val="center"/>
            </w:pPr>
          </w:p>
        </w:tc>
        <w:tc>
          <w:tcPr>
            <w:tcW w:w="236" w:type="dxa"/>
          </w:tcPr>
          <w:p w:rsidR="002743E3" w:rsidRDefault="002743E3"/>
        </w:tc>
        <w:tc>
          <w:tcPr>
            <w:tcW w:w="1570" w:type="dxa"/>
          </w:tcPr>
          <w:p w:rsidR="002743E3" w:rsidRDefault="002743E3">
            <w:pPr>
              <w:jc w:val="center"/>
            </w:pPr>
          </w:p>
        </w:tc>
        <w:tc>
          <w:tcPr>
            <w:tcW w:w="238" w:type="dxa"/>
          </w:tcPr>
          <w:p w:rsidR="002743E3" w:rsidRDefault="002743E3"/>
        </w:tc>
        <w:tc>
          <w:tcPr>
            <w:tcW w:w="1570" w:type="dxa"/>
          </w:tcPr>
          <w:p w:rsidR="002743E3" w:rsidRDefault="002743E3">
            <w:pPr>
              <w:jc w:val="center"/>
              <w:rPr>
                <w:b/>
                <w:bCs/>
              </w:rPr>
            </w:pPr>
          </w:p>
        </w:tc>
        <w:tc>
          <w:tcPr>
            <w:tcW w:w="236" w:type="dxa"/>
          </w:tcPr>
          <w:p w:rsidR="002743E3" w:rsidRDefault="002743E3"/>
        </w:tc>
      </w:tr>
      <w:tr w:rsidR="002743E3">
        <w:trPr>
          <w:cantSplit/>
        </w:trPr>
        <w:tc>
          <w:tcPr>
            <w:tcW w:w="381" w:type="dxa"/>
          </w:tcPr>
          <w:p w:rsidR="002743E3" w:rsidRDefault="002743E3"/>
        </w:tc>
        <w:tc>
          <w:tcPr>
            <w:tcW w:w="537" w:type="dxa"/>
            <w:vMerge w:val="restart"/>
            <w:vAlign w:val="center"/>
          </w:tcPr>
          <w:p w:rsidR="002743E3" w:rsidRDefault="002743E3">
            <w:r>
              <w:t>2a.</w:t>
            </w:r>
          </w:p>
        </w:tc>
        <w:tc>
          <w:tcPr>
            <w:tcW w:w="3690" w:type="dxa"/>
          </w:tcPr>
          <w:p w:rsidR="002743E3" w:rsidRDefault="002743E3">
            <w:pPr>
              <w:pStyle w:val="Heading7"/>
            </w:pPr>
            <w:r>
              <w:t>Net income</w:t>
            </w:r>
          </w:p>
        </w:tc>
        <w:tc>
          <w:tcPr>
            <w:tcW w:w="1572" w:type="dxa"/>
            <w:vMerge w:val="restart"/>
            <w:vAlign w:val="center"/>
          </w:tcPr>
          <w:p w:rsidR="002743E3" w:rsidRDefault="002743E3">
            <w:pPr>
              <w:jc w:val="center"/>
            </w:pPr>
            <w:r>
              <w:t>6.09%</w:t>
            </w:r>
          </w:p>
        </w:tc>
        <w:tc>
          <w:tcPr>
            <w:tcW w:w="236" w:type="dxa"/>
            <w:vAlign w:val="center"/>
          </w:tcPr>
          <w:p w:rsidR="002743E3" w:rsidRDefault="002743E3"/>
        </w:tc>
        <w:tc>
          <w:tcPr>
            <w:tcW w:w="1570" w:type="dxa"/>
            <w:vMerge w:val="restart"/>
            <w:vAlign w:val="center"/>
          </w:tcPr>
          <w:p w:rsidR="002743E3" w:rsidRDefault="002743E3">
            <w:pPr>
              <w:jc w:val="center"/>
            </w:pPr>
            <w:r>
              <w:t>7.23%</w:t>
            </w:r>
          </w:p>
        </w:tc>
        <w:tc>
          <w:tcPr>
            <w:tcW w:w="238" w:type="dxa"/>
            <w:vAlign w:val="center"/>
          </w:tcPr>
          <w:p w:rsidR="002743E3" w:rsidRDefault="002743E3"/>
        </w:tc>
        <w:tc>
          <w:tcPr>
            <w:tcW w:w="1570" w:type="dxa"/>
            <w:vMerge w:val="restart"/>
            <w:vAlign w:val="center"/>
          </w:tcPr>
          <w:p w:rsidR="002743E3" w:rsidRDefault="002743E3">
            <w:pPr>
              <w:jc w:val="center"/>
              <w:rPr>
                <w:b/>
                <w:bCs/>
              </w:rPr>
            </w:pPr>
            <w:r>
              <w:rPr>
                <w:b/>
                <w:bCs/>
              </w:rPr>
              <w:t>8.85%</w:t>
            </w:r>
          </w:p>
        </w:tc>
        <w:tc>
          <w:tcPr>
            <w:tcW w:w="236" w:type="dxa"/>
          </w:tcPr>
          <w:p w:rsidR="002743E3" w:rsidRDefault="002743E3"/>
        </w:tc>
      </w:tr>
      <w:tr w:rsidR="002743E3">
        <w:trPr>
          <w:cantSplit/>
        </w:trPr>
        <w:tc>
          <w:tcPr>
            <w:tcW w:w="381" w:type="dxa"/>
          </w:tcPr>
          <w:p w:rsidR="002743E3" w:rsidRDefault="002743E3"/>
        </w:tc>
        <w:tc>
          <w:tcPr>
            <w:tcW w:w="537" w:type="dxa"/>
            <w:vMerge/>
          </w:tcPr>
          <w:p w:rsidR="002743E3" w:rsidRDefault="002743E3"/>
        </w:tc>
        <w:tc>
          <w:tcPr>
            <w:tcW w:w="3690" w:type="dxa"/>
          </w:tcPr>
          <w:p w:rsidR="002743E3" w:rsidRDefault="002743E3">
            <w:r>
              <w:t>Total assets</w:t>
            </w:r>
          </w:p>
        </w:tc>
        <w:tc>
          <w:tcPr>
            <w:tcW w:w="1572" w:type="dxa"/>
            <w:vMerge/>
          </w:tcPr>
          <w:p w:rsidR="002743E3" w:rsidRDefault="002743E3">
            <w:pPr>
              <w:jc w:val="center"/>
            </w:pPr>
          </w:p>
        </w:tc>
        <w:tc>
          <w:tcPr>
            <w:tcW w:w="236" w:type="dxa"/>
          </w:tcPr>
          <w:p w:rsidR="002743E3" w:rsidRDefault="002743E3"/>
        </w:tc>
        <w:tc>
          <w:tcPr>
            <w:tcW w:w="1570" w:type="dxa"/>
            <w:vMerge/>
          </w:tcPr>
          <w:p w:rsidR="002743E3" w:rsidRDefault="002743E3">
            <w:pPr>
              <w:jc w:val="center"/>
            </w:pPr>
          </w:p>
        </w:tc>
        <w:tc>
          <w:tcPr>
            <w:tcW w:w="238" w:type="dxa"/>
          </w:tcPr>
          <w:p w:rsidR="002743E3" w:rsidRDefault="002743E3"/>
        </w:tc>
        <w:tc>
          <w:tcPr>
            <w:tcW w:w="1570" w:type="dxa"/>
            <w:vMerge/>
          </w:tcPr>
          <w:p w:rsidR="002743E3" w:rsidRDefault="002743E3">
            <w:pPr>
              <w:jc w:val="center"/>
              <w:rPr>
                <w:b/>
                <w:bCs/>
              </w:rPr>
            </w:pPr>
          </w:p>
        </w:tc>
        <w:tc>
          <w:tcPr>
            <w:tcW w:w="236" w:type="dxa"/>
          </w:tcPr>
          <w:p w:rsidR="002743E3" w:rsidRDefault="002743E3"/>
        </w:tc>
      </w:tr>
      <w:tr w:rsidR="002743E3">
        <w:trPr>
          <w:cantSplit/>
        </w:trPr>
        <w:tc>
          <w:tcPr>
            <w:tcW w:w="381" w:type="dxa"/>
          </w:tcPr>
          <w:p w:rsidR="002743E3" w:rsidRDefault="002743E3"/>
        </w:tc>
        <w:tc>
          <w:tcPr>
            <w:tcW w:w="537" w:type="dxa"/>
          </w:tcPr>
          <w:p w:rsidR="002743E3" w:rsidRDefault="002743E3"/>
        </w:tc>
        <w:tc>
          <w:tcPr>
            <w:tcW w:w="3690" w:type="dxa"/>
          </w:tcPr>
          <w:p w:rsidR="002743E3" w:rsidRDefault="002743E3"/>
        </w:tc>
        <w:tc>
          <w:tcPr>
            <w:tcW w:w="1572" w:type="dxa"/>
          </w:tcPr>
          <w:p w:rsidR="002743E3" w:rsidRDefault="002743E3">
            <w:pPr>
              <w:jc w:val="center"/>
            </w:pPr>
          </w:p>
        </w:tc>
        <w:tc>
          <w:tcPr>
            <w:tcW w:w="236" w:type="dxa"/>
          </w:tcPr>
          <w:p w:rsidR="002743E3" w:rsidRDefault="002743E3"/>
        </w:tc>
        <w:tc>
          <w:tcPr>
            <w:tcW w:w="1570" w:type="dxa"/>
          </w:tcPr>
          <w:p w:rsidR="002743E3" w:rsidRDefault="002743E3">
            <w:pPr>
              <w:jc w:val="center"/>
            </w:pPr>
          </w:p>
        </w:tc>
        <w:tc>
          <w:tcPr>
            <w:tcW w:w="238" w:type="dxa"/>
          </w:tcPr>
          <w:p w:rsidR="002743E3" w:rsidRDefault="002743E3"/>
        </w:tc>
        <w:tc>
          <w:tcPr>
            <w:tcW w:w="1570" w:type="dxa"/>
          </w:tcPr>
          <w:p w:rsidR="002743E3" w:rsidRDefault="002743E3">
            <w:pPr>
              <w:jc w:val="center"/>
              <w:rPr>
                <w:b/>
                <w:bCs/>
              </w:rPr>
            </w:pPr>
          </w:p>
        </w:tc>
        <w:tc>
          <w:tcPr>
            <w:tcW w:w="236" w:type="dxa"/>
          </w:tcPr>
          <w:p w:rsidR="002743E3" w:rsidRDefault="002743E3"/>
        </w:tc>
      </w:tr>
      <w:tr w:rsidR="002743E3">
        <w:trPr>
          <w:cantSplit/>
        </w:trPr>
        <w:tc>
          <w:tcPr>
            <w:tcW w:w="381" w:type="dxa"/>
          </w:tcPr>
          <w:p w:rsidR="002743E3" w:rsidRDefault="002743E3"/>
        </w:tc>
        <w:tc>
          <w:tcPr>
            <w:tcW w:w="537" w:type="dxa"/>
          </w:tcPr>
          <w:p w:rsidR="002743E3" w:rsidRDefault="0033070E">
            <w:r>
              <w:t xml:space="preserve">  </w:t>
            </w:r>
            <w:r w:rsidR="002743E3">
              <w:t>b.</w:t>
            </w:r>
          </w:p>
        </w:tc>
        <w:tc>
          <w:tcPr>
            <w:tcW w:w="3690" w:type="dxa"/>
          </w:tcPr>
          <w:p w:rsidR="002743E3" w:rsidRDefault="002743E3">
            <w:r>
              <w:t>Net income sales x sales / total assets</w:t>
            </w:r>
          </w:p>
        </w:tc>
        <w:tc>
          <w:tcPr>
            <w:tcW w:w="1572" w:type="dxa"/>
          </w:tcPr>
          <w:p w:rsidR="002743E3" w:rsidRDefault="002743E3">
            <w:pPr>
              <w:jc w:val="center"/>
            </w:pPr>
            <w:r>
              <w:t>4.52 x 1.35</w:t>
            </w:r>
          </w:p>
        </w:tc>
        <w:tc>
          <w:tcPr>
            <w:tcW w:w="236" w:type="dxa"/>
          </w:tcPr>
          <w:p w:rsidR="002743E3" w:rsidRDefault="002743E3"/>
        </w:tc>
        <w:tc>
          <w:tcPr>
            <w:tcW w:w="1570" w:type="dxa"/>
          </w:tcPr>
          <w:p w:rsidR="002743E3" w:rsidRDefault="002743E3">
            <w:pPr>
              <w:jc w:val="center"/>
            </w:pPr>
            <w:r>
              <w:t>5.42% x 1.33</w:t>
            </w:r>
          </w:p>
        </w:tc>
        <w:tc>
          <w:tcPr>
            <w:tcW w:w="238" w:type="dxa"/>
          </w:tcPr>
          <w:p w:rsidR="002743E3" w:rsidRDefault="002743E3"/>
        </w:tc>
        <w:tc>
          <w:tcPr>
            <w:tcW w:w="1570" w:type="dxa"/>
          </w:tcPr>
          <w:p w:rsidR="002743E3" w:rsidRDefault="002743E3">
            <w:pPr>
              <w:jc w:val="center"/>
              <w:rPr>
                <w:b/>
                <w:bCs/>
              </w:rPr>
            </w:pPr>
            <w:r>
              <w:rPr>
                <w:b/>
                <w:bCs/>
              </w:rPr>
              <w:t>6.19% x 1.43</w:t>
            </w:r>
          </w:p>
        </w:tc>
        <w:tc>
          <w:tcPr>
            <w:tcW w:w="236" w:type="dxa"/>
          </w:tcPr>
          <w:p w:rsidR="002743E3" w:rsidRDefault="002743E3"/>
        </w:tc>
      </w:tr>
      <w:tr w:rsidR="002743E3">
        <w:trPr>
          <w:cantSplit/>
        </w:trPr>
        <w:tc>
          <w:tcPr>
            <w:tcW w:w="381" w:type="dxa"/>
          </w:tcPr>
          <w:p w:rsidR="002743E3" w:rsidRDefault="002743E3"/>
        </w:tc>
        <w:tc>
          <w:tcPr>
            <w:tcW w:w="537" w:type="dxa"/>
          </w:tcPr>
          <w:p w:rsidR="002743E3" w:rsidRDefault="002743E3"/>
        </w:tc>
        <w:tc>
          <w:tcPr>
            <w:tcW w:w="3690" w:type="dxa"/>
          </w:tcPr>
          <w:p w:rsidR="002743E3" w:rsidRDefault="002743E3"/>
        </w:tc>
        <w:tc>
          <w:tcPr>
            <w:tcW w:w="1572" w:type="dxa"/>
          </w:tcPr>
          <w:p w:rsidR="002743E3" w:rsidRDefault="002743E3">
            <w:pPr>
              <w:jc w:val="center"/>
            </w:pPr>
          </w:p>
        </w:tc>
        <w:tc>
          <w:tcPr>
            <w:tcW w:w="236" w:type="dxa"/>
          </w:tcPr>
          <w:p w:rsidR="002743E3" w:rsidRDefault="002743E3"/>
        </w:tc>
        <w:tc>
          <w:tcPr>
            <w:tcW w:w="1570" w:type="dxa"/>
          </w:tcPr>
          <w:p w:rsidR="002743E3" w:rsidRDefault="002743E3">
            <w:pPr>
              <w:jc w:val="center"/>
            </w:pPr>
          </w:p>
        </w:tc>
        <w:tc>
          <w:tcPr>
            <w:tcW w:w="238" w:type="dxa"/>
          </w:tcPr>
          <w:p w:rsidR="002743E3" w:rsidRDefault="002743E3"/>
        </w:tc>
        <w:tc>
          <w:tcPr>
            <w:tcW w:w="1570" w:type="dxa"/>
          </w:tcPr>
          <w:p w:rsidR="002743E3" w:rsidRDefault="002743E3">
            <w:pPr>
              <w:jc w:val="center"/>
              <w:rPr>
                <w:b/>
                <w:bCs/>
              </w:rPr>
            </w:pPr>
          </w:p>
        </w:tc>
        <w:tc>
          <w:tcPr>
            <w:tcW w:w="236" w:type="dxa"/>
          </w:tcPr>
          <w:p w:rsidR="002743E3" w:rsidRDefault="002743E3"/>
        </w:tc>
      </w:tr>
      <w:tr w:rsidR="002743E3">
        <w:trPr>
          <w:cantSplit/>
        </w:trPr>
        <w:tc>
          <w:tcPr>
            <w:tcW w:w="381" w:type="dxa"/>
          </w:tcPr>
          <w:p w:rsidR="002743E3" w:rsidRDefault="002743E3"/>
        </w:tc>
        <w:tc>
          <w:tcPr>
            <w:tcW w:w="537" w:type="dxa"/>
            <w:vMerge w:val="restart"/>
            <w:vAlign w:val="center"/>
          </w:tcPr>
          <w:p w:rsidR="002743E3" w:rsidRDefault="002743E3">
            <w:r>
              <w:t>3a.</w:t>
            </w:r>
          </w:p>
        </w:tc>
        <w:tc>
          <w:tcPr>
            <w:tcW w:w="3690" w:type="dxa"/>
          </w:tcPr>
          <w:p w:rsidR="002743E3" w:rsidRDefault="002743E3">
            <w:pPr>
              <w:pStyle w:val="Heading7"/>
            </w:pPr>
            <w:r>
              <w:t>       Net income       </w:t>
            </w:r>
          </w:p>
        </w:tc>
        <w:tc>
          <w:tcPr>
            <w:tcW w:w="1572" w:type="dxa"/>
            <w:vMerge w:val="restart"/>
            <w:vAlign w:val="center"/>
          </w:tcPr>
          <w:p w:rsidR="002743E3" w:rsidRDefault="002743E3">
            <w:pPr>
              <w:jc w:val="center"/>
            </w:pPr>
            <w:r>
              <w:t>16.04%</w:t>
            </w:r>
          </w:p>
        </w:tc>
        <w:tc>
          <w:tcPr>
            <w:tcW w:w="236" w:type="dxa"/>
            <w:vAlign w:val="center"/>
          </w:tcPr>
          <w:p w:rsidR="002743E3" w:rsidRDefault="002743E3"/>
        </w:tc>
        <w:tc>
          <w:tcPr>
            <w:tcW w:w="1570" w:type="dxa"/>
            <w:vMerge w:val="restart"/>
            <w:vAlign w:val="center"/>
          </w:tcPr>
          <w:p w:rsidR="002743E3" w:rsidRDefault="002743E3">
            <w:pPr>
              <w:jc w:val="center"/>
            </w:pPr>
            <w:r>
              <w:t>18.55%</w:t>
            </w:r>
          </w:p>
        </w:tc>
        <w:tc>
          <w:tcPr>
            <w:tcW w:w="238" w:type="dxa"/>
            <w:vAlign w:val="center"/>
          </w:tcPr>
          <w:p w:rsidR="002743E3" w:rsidRDefault="002743E3"/>
        </w:tc>
        <w:tc>
          <w:tcPr>
            <w:tcW w:w="1570" w:type="dxa"/>
            <w:vMerge w:val="restart"/>
            <w:vAlign w:val="center"/>
          </w:tcPr>
          <w:p w:rsidR="002743E3" w:rsidRDefault="002743E3">
            <w:pPr>
              <w:jc w:val="center"/>
              <w:rPr>
                <w:b/>
                <w:bCs/>
              </w:rPr>
            </w:pPr>
            <w:r>
              <w:rPr>
                <w:b/>
                <w:bCs/>
              </w:rPr>
              <w:t>23.30%</w:t>
            </w:r>
          </w:p>
        </w:tc>
        <w:tc>
          <w:tcPr>
            <w:tcW w:w="236" w:type="dxa"/>
          </w:tcPr>
          <w:p w:rsidR="002743E3" w:rsidRDefault="002743E3"/>
        </w:tc>
      </w:tr>
      <w:tr w:rsidR="002743E3">
        <w:trPr>
          <w:cantSplit/>
        </w:trPr>
        <w:tc>
          <w:tcPr>
            <w:tcW w:w="381" w:type="dxa"/>
          </w:tcPr>
          <w:p w:rsidR="002743E3" w:rsidRDefault="002743E3"/>
        </w:tc>
        <w:tc>
          <w:tcPr>
            <w:tcW w:w="537" w:type="dxa"/>
            <w:vMerge/>
            <w:vAlign w:val="center"/>
          </w:tcPr>
          <w:p w:rsidR="002743E3" w:rsidRDefault="002743E3"/>
        </w:tc>
        <w:tc>
          <w:tcPr>
            <w:tcW w:w="3690" w:type="dxa"/>
          </w:tcPr>
          <w:p w:rsidR="002743E3" w:rsidRDefault="002743E3">
            <w:r>
              <w:t>Stockholder's equity</w:t>
            </w:r>
          </w:p>
        </w:tc>
        <w:tc>
          <w:tcPr>
            <w:tcW w:w="1572" w:type="dxa"/>
            <w:vMerge/>
          </w:tcPr>
          <w:p w:rsidR="002743E3" w:rsidRDefault="002743E3">
            <w:pPr>
              <w:jc w:val="center"/>
            </w:pPr>
          </w:p>
        </w:tc>
        <w:tc>
          <w:tcPr>
            <w:tcW w:w="236" w:type="dxa"/>
          </w:tcPr>
          <w:p w:rsidR="002743E3" w:rsidRDefault="002743E3"/>
        </w:tc>
        <w:tc>
          <w:tcPr>
            <w:tcW w:w="1570" w:type="dxa"/>
            <w:vMerge/>
          </w:tcPr>
          <w:p w:rsidR="002743E3" w:rsidRDefault="002743E3">
            <w:pPr>
              <w:jc w:val="center"/>
            </w:pPr>
          </w:p>
        </w:tc>
        <w:tc>
          <w:tcPr>
            <w:tcW w:w="238" w:type="dxa"/>
          </w:tcPr>
          <w:p w:rsidR="002743E3" w:rsidRDefault="002743E3"/>
        </w:tc>
        <w:tc>
          <w:tcPr>
            <w:tcW w:w="1570" w:type="dxa"/>
            <w:vMerge/>
          </w:tcPr>
          <w:p w:rsidR="002743E3" w:rsidRDefault="002743E3">
            <w:pPr>
              <w:jc w:val="center"/>
              <w:rPr>
                <w:b/>
                <w:bCs/>
              </w:rPr>
            </w:pPr>
          </w:p>
        </w:tc>
        <w:tc>
          <w:tcPr>
            <w:tcW w:w="236" w:type="dxa"/>
          </w:tcPr>
          <w:p w:rsidR="002743E3" w:rsidRDefault="002743E3"/>
        </w:tc>
      </w:tr>
      <w:tr w:rsidR="002743E3">
        <w:trPr>
          <w:cantSplit/>
        </w:trPr>
        <w:tc>
          <w:tcPr>
            <w:tcW w:w="381" w:type="dxa"/>
          </w:tcPr>
          <w:p w:rsidR="002743E3" w:rsidRDefault="002743E3"/>
        </w:tc>
        <w:tc>
          <w:tcPr>
            <w:tcW w:w="537" w:type="dxa"/>
            <w:vAlign w:val="center"/>
          </w:tcPr>
          <w:p w:rsidR="002743E3" w:rsidRDefault="002743E3"/>
        </w:tc>
        <w:tc>
          <w:tcPr>
            <w:tcW w:w="3690" w:type="dxa"/>
          </w:tcPr>
          <w:p w:rsidR="002743E3" w:rsidRDefault="002743E3"/>
        </w:tc>
        <w:tc>
          <w:tcPr>
            <w:tcW w:w="1572" w:type="dxa"/>
          </w:tcPr>
          <w:p w:rsidR="002743E3" w:rsidRDefault="002743E3">
            <w:pPr>
              <w:jc w:val="center"/>
            </w:pPr>
          </w:p>
        </w:tc>
        <w:tc>
          <w:tcPr>
            <w:tcW w:w="236" w:type="dxa"/>
          </w:tcPr>
          <w:p w:rsidR="002743E3" w:rsidRDefault="002743E3"/>
        </w:tc>
        <w:tc>
          <w:tcPr>
            <w:tcW w:w="1570" w:type="dxa"/>
          </w:tcPr>
          <w:p w:rsidR="002743E3" w:rsidRDefault="002743E3">
            <w:pPr>
              <w:jc w:val="center"/>
            </w:pPr>
          </w:p>
        </w:tc>
        <w:tc>
          <w:tcPr>
            <w:tcW w:w="238" w:type="dxa"/>
          </w:tcPr>
          <w:p w:rsidR="002743E3" w:rsidRDefault="002743E3"/>
        </w:tc>
        <w:tc>
          <w:tcPr>
            <w:tcW w:w="1570" w:type="dxa"/>
          </w:tcPr>
          <w:p w:rsidR="002743E3" w:rsidRDefault="002743E3">
            <w:pPr>
              <w:jc w:val="center"/>
              <w:rPr>
                <w:b/>
                <w:bCs/>
              </w:rPr>
            </w:pPr>
          </w:p>
        </w:tc>
        <w:tc>
          <w:tcPr>
            <w:tcW w:w="236" w:type="dxa"/>
          </w:tcPr>
          <w:p w:rsidR="002743E3" w:rsidRDefault="002743E3"/>
        </w:tc>
      </w:tr>
      <w:tr w:rsidR="002743E3">
        <w:trPr>
          <w:cantSplit/>
        </w:trPr>
        <w:tc>
          <w:tcPr>
            <w:tcW w:w="381" w:type="dxa"/>
          </w:tcPr>
          <w:p w:rsidR="002743E3" w:rsidRDefault="002743E3"/>
        </w:tc>
        <w:tc>
          <w:tcPr>
            <w:tcW w:w="537" w:type="dxa"/>
            <w:vMerge w:val="restart"/>
            <w:vAlign w:val="center"/>
          </w:tcPr>
          <w:p w:rsidR="002743E3" w:rsidRDefault="0033070E" w:rsidP="0038790C">
            <w:pPr>
              <w:tabs>
                <w:tab w:val="left" w:pos="174"/>
              </w:tabs>
            </w:pPr>
            <w:r>
              <w:t xml:space="preserve">  </w:t>
            </w:r>
            <w:r w:rsidR="002743E3">
              <w:t>b.</w:t>
            </w:r>
          </w:p>
        </w:tc>
        <w:tc>
          <w:tcPr>
            <w:tcW w:w="3690" w:type="dxa"/>
          </w:tcPr>
          <w:p w:rsidR="002743E3" w:rsidRDefault="002743E3">
            <w:pPr>
              <w:pStyle w:val="Heading7"/>
            </w:pPr>
            <w:r>
              <w:t>Net income / total assets</w:t>
            </w:r>
          </w:p>
        </w:tc>
        <w:tc>
          <w:tcPr>
            <w:tcW w:w="1572" w:type="dxa"/>
          </w:tcPr>
          <w:p w:rsidR="002743E3" w:rsidRDefault="002743E3">
            <w:pPr>
              <w:jc w:val="center"/>
              <w:rPr>
                <w:u w:val="single"/>
              </w:rPr>
            </w:pPr>
            <w:r>
              <w:rPr>
                <w:u w:val="single"/>
              </w:rPr>
              <w:t>  6.09%  </w:t>
            </w:r>
          </w:p>
        </w:tc>
        <w:tc>
          <w:tcPr>
            <w:tcW w:w="236" w:type="dxa"/>
          </w:tcPr>
          <w:p w:rsidR="002743E3" w:rsidRDefault="002743E3"/>
        </w:tc>
        <w:tc>
          <w:tcPr>
            <w:tcW w:w="1570" w:type="dxa"/>
          </w:tcPr>
          <w:p w:rsidR="002743E3" w:rsidRDefault="002743E3">
            <w:pPr>
              <w:jc w:val="center"/>
              <w:rPr>
                <w:u w:val="single"/>
              </w:rPr>
            </w:pPr>
            <w:r>
              <w:rPr>
                <w:u w:val="single"/>
              </w:rPr>
              <w:t>  7.23%  </w:t>
            </w:r>
          </w:p>
        </w:tc>
        <w:tc>
          <w:tcPr>
            <w:tcW w:w="238" w:type="dxa"/>
          </w:tcPr>
          <w:p w:rsidR="002743E3" w:rsidRDefault="002743E3"/>
        </w:tc>
        <w:tc>
          <w:tcPr>
            <w:tcW w:w="1570" w:type="dxa"/>
          </w:tcPr>
          <w:p w:rsidR="002743E3" w:rsidRDefault="002743E3">
            <w:pPr>
              <w:jc w:val="center"/>
              <w:rPr>
                <w:b/>
                <w:bCs/>
                <w:u w:val="single"/>
              </w:rPr>
            </w:pPr>
            <w:r>
              <w:rPr>
                <w:b/>
                <w:bCs/>
                <w:u w:val="single"/>
              </w:rPr>
              <w:t>  8.85%  </w:t>
            </w:r>
          </w:p>
        </w:tc>
        <w:tc>
          <w:tcPr>
            <w:tcW w:w="236" w:type="dxa"/>
          </w:tcPr>
          <w:p w:rsidR="002743E3" w:rsidRDefault="002743E3"/>
        </w:tc>
      </w:tr>
      <w:tr w:rsidR="002743E3">
        <w:trPr>
          <w:cantSplit/>
        </w:trPr>
        <w:tc>
          <w:tcPr>
            <w:tcW w:w="381" w:type="dxa"/>
          </w:tcPr>
          <w:p w:rsidR="002743E3" w:rsidRDefault="002743E3"/>
        </w:tc>
        <w:tc>
          <w:tcPr>
            <w:tcW w:w="537" w:type="dxa"/>
            <w:vMerge/>
          </w:tcPr>
          <w:p w:rsidR="002743E3" w:rsidRDefault="002743E3"/>
        </w:tc>
        <w:tc>
          <w:tcPr>
            <w:tcW w:w="3690" w:type="dxa"/>
          </w:tcPr>
          <w:p w:rsidR="002743E3" w:rsidRDefault="002743E3">
            <w:r>
              <w:t>(1 – debt / total assets)</w:t>
            </w:r>
          </w:p>
        </w:tc>
        <w:tc>
          <w:tcPr>
            <w:tcW w:w="1572" w:type="dxa"/>
          </w:tcPr>
          <w:p w:rsidR="002743E3" w:rsidRDefault="002743E3">
            <w:pPr>
              <w:jc w:val="center"/>
            </w:pPr>
            <w:r>
              <w:t>(1 – .620)</w:t>
            </w:r>
          </w:p>
        </w:tc>
        <w:tc>
          <w:tcPr>
            <w:tcW w:w="236" w:type="dxa"/>
          </w:tcPr>
          <w:p w:rsidR="002743E3" w:rsidRDefault="002743E3"/>
        </w:tc>
        <w:tc>
          <w:tcPr>
            <w:tcW w:w="1570" w:type="dxa"/>
          </w:tcPr>
          <w:p w:rsidR="002743E3" w:rsidRDefault="002743E3">
            <w:pPr>
              <w:jc w:val="center"/>
            </w:pPr>
            <w:r>
              <w:t>(1 – .610)</w:t>
            </w:r>
          </w:p>
        </w:tc>
        <w:tc>
          <w:tcPr>
            <w:tcW w:w="238" w:type="dxa"/>
          </w:tcPr>
          <w:p w:rsidR="002743E3" w:rsidRDefault="002743E3"/>
        </w:tc>
        <w:tc>
          <w:tcPr>
            <w:tcW w:w="1570" w:type="dxa"/>
          </w:tcPr>
          <w:p w:rsidR="002743E3" w:rsidRDefault="002743E3">
            <w:pPr>
              <w:jc w:val="center"/>
              <w:rPr>
                <w:b/>
                <w:bCs/>
              </w:rPr>
            </w:pPr>
            <w:r>
              <w:rPr>
                <w:b/>
                <w:bCs/>
              </w:rPr>
              <w:t>(1 – .620)</w:t>
            </w:r>
          </w:p>
        </w:tc>
        <w:tc>
          <w:tcPr>
            <w:tcW w:w="236" w:type="dxa"/>
          </w:tcPr>
          <w:p w:rsidR="002743E3" w:rsidRDefault="002743E3"/>
        </w:tc>
      </w:tr>
      <w:tr w:rsidR="002743E3">
        <w:trPr>
          <w:cantSplit/>
        </w:trPr>
        <w:tc>
          <w:tcPr>
            <w:tcW w:w="381" w:type="dxa"/>
          </w:tcPr>
          <w:p w:rsidR="002743E3" w:rsidRDefault="002743E3"/>
        </w:tc>
        <w:tc>
          <w:tcPr>
            <w:tcW w:w="537" w:type="dxa"/>
            <w:vAlign w:val="center"/>
          </w:tcPr>
          <w:p w:rsidR="002743E3" w:rsidRDefault="002743E3"/>
        </w:tc>
        <w:tc>
          <w:tcPr>
            <w:tcW w:w="3690" w:type="dxa"/>
          </w:tcPr>
          <w:p w:rsidR="002743E3" w:rsidRDefault="002743E3"/>
        </w:tc>
        <w:tc>
          <w:tcPr>
            <w:tcW w:w="1572" w:type="dxa"/>
          </w:tcPr>
          <w:p w:rsidR="002743E3" w:rsidRDefault="002743E3">
            <w:pPr>
              <w:jc w:val="center"/>
            </w:pPr>
          </w:p>
        </w:tc>
        <w:tc>
          <w:tcPr>
            <w:tcW w:w="236" w:type="dxa"/>
          </w:tcPr>
          <w:p w:rsidR="002743E3" w:rsidRDefault="002743E3"/>
        </w:tc>
        <w:tc>
          <w:tcPr>
            <w:tcW w:w="1570" w:type="dxa"/>
          </w:tcPr>
          <w:p w:rsidR="002743E3" w:rsidRDefault="002743E3">
            <w:pPr>
              <w:jc w:val="center"/>
            </w:pPr>
          </w:p>
        </w:tc>
        <w:tc>
          <w:tcPr>
            <w:tcW w:w="238" w:type="dxa"/>
          </w:tcPr>
          <w:p w:rsidR="002743E3" w:rsidRDefault="002743E3"/>
        </w:tc>
        <w:tc>
          <w:tcPr>
            <w:tcW w:w="1570" w:type="dxa"/>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r>
              <w:t>4.</w:t>
            </w:r>
          </w:p>
        </w:tc>
        <w:tc>
          <w:tcPr>
            <w:tcW w:w="9649" w:type="dxa"/>
            <w:gridSpan w:val="8"/>
            <w:vAlign w:val="center"/>
          </w:tcPr>
          <w:p w:rsidR="002743E3" w:rsidRDefault="002743E3" w:rsidP="00C272C9">
            <w:r>
              <w:t xml:space="preserve">After eliminating the effect of the nonrecurring extraordinary loss, the trend is clearly up over all three years. Particularly impressive is the increase in return on stockholders' equity from 16.04% in 2007 to 23.30% in </w:t>
            </w:r>
            <w:proofErr w:type="gramStart"/>
            <w:r>
              <w:t>2009 .</w:t>
            </w:r>
            <w:proofErr w:type="gramEnd"/>
          </w:p>
        </w:tc>
      </w:tr>
      <w:tr w:rsidR="002743E3">
        <w:trPr>
          <w:cantSplit/>
        </w:trPr>
        <w:tc>
          <w:tcPr>
            <w:tcW w:w="381" w:type="dxa"/>
          </w:tcPr>
          <w:p w:rsidR="002743E3" w:rsidRDefault="002743E3"/>
        </w:tc>
        <w:tc>
          <w:tcPr>
            <w:tcW w:w="537" w:type="dxa"/>
            <w:vAlign w:val="center"/>
          </w:tcPr>
          <w:p w:rsidR="002743E3" w:rsidRDefault="002743E3"/>
        </w:tc>
        <w:tc>
          <w:tcPr>
            <w:tcW w:w="3690" w:type="dxa"/>
          </w:tcPr>
          <w:p w:rsidR="002743E3" w:rsidRDefault="002743E3"/>
        </w:tc>
        <w:tc>
          <w:tcPr>
            <w:tcW w:w="1572" w:type="dxa"/>
          </w:tcPr>
          <w:p w:rsidR="002743E3" w:rsidRDefault="002743E3">
            <w:pPr>
              <w:jc w:val="center"/>
            </w:pPr>
          </w:p>
        </w:tc>
        <w:tc>
          <w:tcPr>
            <w:tcW w:w="236" w:type="dxa"/>
          </w:tcPr>
          <w:p w:rsidR="002743E3" w:rsidRDefault="002743E3"/>
        </w:tc>
        <w:tc>
          <w:tcPr>
            <w:tcW w:w="1570" w:type="dxa"/>
          </w:tcPr>
          <w:p w:rsidR="002743E3" w:rsidRDefault="002743E3">
            <w:pPr>
              <w:jc w:val="center"/>
            </w:pPr>
          </w:p>
        </w:tc>
        <w:tc>
          <w:tcPr>
            <w:tcW w:w="238" w:type="dxa"/>
          </w:tcPr>
          <w:p w:rsidR="002743E3" w:rsidRDefault="002743E3"/>
        </w:tc>
        <w:tc>
          <w:tcPr>
            <w:tcW w:w="1570" w:type="dxa"/>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r>
              <w:t>5.</w:t>
            </w:r>
          </w:p>
        </w:tc>
        <w:tc>
          <w:tcPr>
            <w:tcW w:w="9649" w:type="dxa"/>
            <w:gridSpan w:val="8"/>
            <w:vAlign w:val="center"/>
          </w:tcPr>
          <w:p w:rsidR="002743E3" w:rsidRDefault="002743E3">
            <w:proofErr w:type="spellStart"/>
            <w:r>
              <w:t>Harrod</w:t>
            </w:r>
            <w:proofErr w:type="spellEnd"/>
            <w:r>
              <w:t xml:space="preserve"> has a clear superiority in the profit margin (6.19% vs. 4.51%). This is further enhanced by a more rapid asset turnover (1.43 vs. 1.13) to give an even more superior return on total assets (8.85% vs. 5.1%). Finally, return on stockholders' equity greatly benefits from a higher debt ratio (62% vs. 48%) to provide an even larger gap between the firm and the industry (23.30% vs. 9.80%). While debt is not necessarily good, it has hiked up the return on equity to well over twice the industry figure.</w:t>
            </w:r>
          </w:p>
        </w:tc>
      </w:tr>
    </w:tbl>
    <w:p w:rsidR="002743E3" w:rsidRDefault="002743E3">
      <w:r>
        <w:br w:type="page"/>
      </w:r>
    </w:p>
    <w:tbl>
      <w:tblPr>
        <w:tblW w:w="10030" w:type="dxa"/>
        <w:tblLayout w:type="fixed"/>
        <w:tblLook w:val="0000" w:firstRow="0" w:lastRow="0" w:firstColumn="0" w:lastColumn="0" w:noHBand="0" w:noVBand="0"/>
      </w:tblPr>
      <w:tblGrid>
        <w:gridCol w:w="381"/>
        <w:gridCol w:w="537"/>
        <w:gridCol w:w="3690"/>
        <w:gridCol w:w="1572"/>
        <w:gridCol w:w="236"/>
        <w:gridCol w:w="1570"/>
        <w:gridCol w:w="238"/>
        <w:gridCol w:w="1570"/>
        <w:gridCol w:w="236"/>
      </w:tblGrid>
      <w:tr w:rsidR="002743E3">
        <w:trPr>
          <w:cantSplit/>
        </w:trPr>
        <w:tc>
          <w:tcPr>
            <w:tcW w:w="381" w:type="dxa"/>
          </w:tcPr>
          <w:p w:rsidR="002743E3" w:rsidRDefault="002743E3">
            <w:r>
              <w:t>6.</w:t>
            </w:r>
          </w:p>
        </w:tc>
        <w:tc>
          <w:tcPr>
            <w:tcW w:w="4227" w:type="dxa"/>
            <w:gridSpan w:val="2"/>
          </w:tcPr>
          <w:p w:rsidR="002743E3" w:rsidRDefault="002743E3">
            <w:r>
              <w:t>Ratios</w:t>
            </w:r>
          </w:p>
        </w:tc>
        <w:tc>
          <w:tcPr>
            <w:tcW w:w="1572" w:type="dxa"/>
            <w:tcBorders>
              <w:bottom w:val="single" w:sz="4" w:space="0" w:color="auto"/>
            </w:tcBorders>
          </w:tcPr>
          <w:p w:rsidR="002743E3" w:rsidRDefault="002743E3">
            <w:pPr>
              <w:jc w:val="center"/>
              <w:rPr>
                <w:b/>
                <w:bCs/>
              </w:rPr>
            </w:pPr>
            <w:r>
              <w:rPr>
                <w:b/>
                <w:bCs/>
              </w:rPr>
              <w:t>2009</w:t>
            </w:r>
          </w:p>
        </w:tc>
        <w:tc>
          <w:tcPr>
            <w:tcW w:w="236" w:type="dxa"/>
          </w:tcPr>
          <w:p w:rsidR="002743E3" w:rsidRDefault="002743E3">
            <w:pPr>
              <w:jc w:val="center"/>
              <w:rPr>
                <w:b/>
                <w:bCs/>
              </w:rPr>
            </w:pPr>
          </w:p>
        </w:tc>
        <w:tc>
          <w:tcPr>
            <w:tcW w:w="1570" w:type="dxa"/>
            <w:tcBorders>
              <w:bottom w:val="single" w:sz="4" w:space="0" w:color="auto"/>
            </w:tcBorders>
          </w:tcPr>
          <w:p w:rsidR="002743E3" w:rsidRDefault="002743E3">
            <w:pPr>
              <w:jc w:val="center"/>
              <w:rPr>
                <w:b/>
                <w:bCs/>
              </w:rPr>
            </w:pPr>
            <w:r>
              <w:rPr>
                <w:b/>
                <w:bCs/>
              </w:rPr>
              <w:t>Industry</w:t>
            </w:r>
          </w:p>
        </w:tc>
        <w:tc>
          <w:tcPr>
            <w:tcW w:w="238" w:type="dxa"/>
          </w:tcPr>
          <w:p w:rsidR="002743E3" w:rsidRDefault="002743E3">
            <w:pPr>
              <w:jc w:val="center"/>
              <w:rPr>
                <w:b/>
                <w:bCs/>
              </w:rPr>
            </w:pPr>
          </w:p>
        </w:tc>
        <w:tc>
          <w:tcPr>
            <w:tcW w:w="1570" w:type="dxa"/>
          </w:tcPr>
          <w:p w:rsidR="002743E3" w:rsidRDefault="002743E3">
            <w:pPr>
              <w:jc w:val="center"/>
              <w:rPr>
                <w:b/>
                <w:bCs/>
              </w:rPr>
            </w:pPr>
          </w:p>
        </w:tc>
        <w:tc>
          <w:tcPr>
            <w:tcW w:w="236" w:type="dxa"/>
          </w:tcPr>
          <w:p w:rsidR="002743E3" w:rsidRDefault="002743E3">
            <w:pPr>
              <w:jc w:val="center"/>
              <w:rPr>
                <w:b/>
                <w:bCs/>
              </w:rPr>
            </w:pPr>
          </w:p>
        </w:tc>
      </w:tr>
      <w:tr w:rsidR="002743E3">
        <w:trPr>
          <w:cantSplit/>
        </w:trPr>
        <w:tc>
          <w:tcPr>
            <w:tcW w:w="381" w:type="dxa"/>
          </w:tcPr>
          <w:p w:rsidR="002743E3" w:rsidRDefault="002743E3"/>
        </w:tc>
        <w:tc>
          <w:tcPr>
            <w:tcW w:w="537" w:type="dxa"/>
            <w:vMerge w:val="restart"/>
            <w:vAlign w:val="center"/>
          </w:tcPr>
          <w:p w:rsidR="002743E3" w:rsidRDefault="000867D5">
            <w:r>
              <w:t>1</w:t>
            </w:r>
            <w:r w:rsidR="002743E3">
              <w:t>.</w:t>
            </w:r>
          </w:p>
        </w:tc>
        <w:tc>
          <w:tcPr>
            <w:tcW w:w="3690" w:type="dxa"/>
          </w:tcPr>
          <w:p w:rsidR="002743E3" w:rsidRDefault="002743E3">
            <w:pPr>
              <w:pStyle w:val="Heading7"/>
            </w:pPr>
            <w:r>
              <w:t>     Sales     </w:t>
            </w:r>
          </w:p>
        </w:tc>
        <w:tc>
          <w:tcPr>
            <w:tcW w:w="1572" w:type="dxa"/>
            <w:vMerge w:val="restart"/>
            <w:tcBorders>
              <w:top w:val="single" w:sz="4" w:space="0" w:color="auto"/>
            </w:tcBorders>
            <w:vAlign w:val="center"/>
          </w:tcPr>
          <w:p w:rsidR="002743E3" w:rsidRDefault="002743E3">
            <w:pPr>
              <w:jc w:val="center"/>
            </w:pPr>
            <w:r>
              <w:t>6.31</w:t>
            </w:r>
          </w:p>
        </w:tc>
        <w:tc>
          <w:tcPr>
            <w:tcW w:w="236" w:type="dxa"/>
          </w:tcPr>
          <w:p w:rsidR="002743E3" w:rsidRDefault="002743E3"/>
        </w:tc>
        <w:tc>
          <w:tcPr>
            <w:tcW w:w="1570" w:type="dxa"/>
            <w:vMerge w:val="restart"/>
            <w:tcBorders>
              <w:top w:val="single" w:sz="4" w:space="0" w:color="auto"/>
            </w:tcBorders>
            <w:vAlign w:val="center"/>
          </w:tcPr>
          <w:p w:rsidR="002743E3" w:rsidRDefault="002743E3">
            <w:pPr>
              <w:jc w:val="center"/>
            </w:pPr>
            <w:r>
              <w:t>5.75</w:t>
            </w:r>
          </w:p>
        </w:tc>
        <w:tc>
          <w:tcPr>
            <w:tcW w:w="238" w:type="dxa"/>
          </w:tcPr>
          <w:p w:rsidR="002743E3" w:rsidRDefault="002743E3"/>
        </w:tc>
        <w:tc>
          <w:tcPr>
            <w:tcW w:w="1570" w:type="dxa"/>
            <w:vMerge w:val="restart"/>
            <w:vAlign w:val="center"/>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tc>
        <w:tc>
          <w:tcPr>
            <w:tcW w:w="537" w:type="dxa"/>
            <w:vMerge/>
          </w:tcPr>
          <w:p w:rsidR="002743E3" w:rsidRDefault="002743E3"/>
        </w:tc>
        <w:tc>
          <w:tcPr>
            <w:tcW w:w="3690" w:type="dxa"/>
          </w:tcPr>
          <w:p w:rsidR="002743E3" w:rsidRDefault="002743E3">
            <w:r>
              <w:t>Receivables</w:t>
            </w:r>
          </w:p>
        </w:tc>
        <w:tc>
          <w:tcPr>
            <w:tcW w:w="1572" w:type="dxa"/>
            <w:vMerge/>
          </w:tcPr>
          <w:p w:rsidR="002743E3" w:rsidRDefault="002743E3">
            <w:pPr>
              <w:jc w:val="center"/>
            </w:pPr>
          </w:p>
        </w:tc>
        <w:tc>
          <w:tcPr>
            <w:tcW w:w="236" w:type="dxa"/>
          </w:tcPr>
          <w:p w:rsidR="002743E3" w:rsidRDefault="002743E3"/>
        </w:tc>
        <w:tc>
          <w:tcPr>
            <w:tcW w:w="1570" w:type="dxa"/>
            <w:vMerge/>
          </w:tcPr>
          <w:p w:rsidR="002743E3" w:rsidRDefault="002743E3">
            <w:pPr>
              <w:jc w:val="center"/>
            </w:pPr>
          </w:p>
        </w:tc>
        <w:tc>
          <w:tcPr>
            <w:tcW w:w="238" w:type="dxa"/>
          </w:tcPr>
          <w:p w:rsidR="002743E3" w:rsidRDefault="002743E3"/>
        </w:tc>
        <w:tc>
          <w:tcPr>
            <w:tcW w:w="1570" w:type="dxa"/>
            <w:vMerge/>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tc>
        <w:tc>
          <w:tcPr>
            <w:tcW w:w="537" w:type="dxa"/>
          </w:tcPr>
          <w:p w:rsidR="002743E3" w:rsidRDefault="002743E3"/>
        </w:tc>
        <w:tc>
          <w:tcPr>
            <w:tcW w:w="3690" w:type="dxa"/>
          </w:tcPr>
          <w:p w:rsidR="002743E3" w:rsidRDefault="002743E3"/>
        </w:tc>
        <w:tc>
          <w:tcPr>
            <w:tcW w:w="1572" w:type="dxa"/>
          </w:tcPr>
          <w:p w:rsidR="002743E3" w:rsidRDefault="002743E3">
            <w:pPr>
              <w:jc w:val="center"/>
            </w:pPr>
          </w:p>
        </w:tc>
        <w:tc>
          <w:tcPr>
            <w:tcW w:w="236" w:type="dxa"/>
          </w:tcPr>
          <w:p w:rsidR="002743E3" w:rsidRDefault="002743E3"/>
        </w:tc>
        <w:tc>
          <w:tcPr>
            <w:tcW w:w="1570" w:type="dxa"/>
          </w:tcPr>
          <w:p w:rsidR="002743E3" w:rsidRDefault="002743E3">
            <w:pPr>
              <w:jc w:val="center"/>
            </w:pPr>
          </w:p>
        </w:tc>
        <w:tc>
          <w:tcPr>
            <w:tcW w:w="238" w:type="dxa"/>
          </w:tcPr>
          <w:p w:rsidR="002743E3" w:rsidRDefault="002743E3"/>
        </w:tc>
        <w:tc>
          <w:tcPr>
            <w:tcW w:w="1570" w:type="dxa"/>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tc>
        <w:tc>
          <w:tcPr>
            <w:tcW w:w="537" w:type="dxa"/>
            <w:vMerge w:val="restart"/>
            <w:vAlign w:val="center"/>
          </w:tcPr>
          <w:p w:rsidR="002743E3" w:rsidRDefault="000867D5">
            <w:r>
              <w:t>2</w:t>
            </w:r>
            <w:r w:rsidR="002743E3">
              <w:t>.</w:t>
            </w:r>
          </w:p>
        </w:tc>
        <w:tc>
          <w:tcPr>
            <w:tcW w:w="3690" w:type="dxa"/>
          </w:tcPr>
          <w:p w:rsidR="002743E3" w:rsidRDefault="002743E3">
            <w:pPr>
              <w:pStyle w:val="Heading7"/>
            </w:pPr>
            <w:r>
              <w:t>    Sales    </w:t>
            </w:r>
          </w:p>
        </w:tc>
        <w:tc>
          <w:tcPr>
            <w:tcW w:w="1572" w:type="dxa"/>
            <w:vMerge w:val="restart"/>
            <w:vAlign w:val="center"/>
          </w:tcPr>
          <w:p w:rsidR="002743E3" w:rsidRDefault="002743E3">
            <w:pPr>
              <w:jc w:val="center"/>
            </w:pPr>
            <w:r>
              <w:t>4.75</w:t>
            </w:r>
          </w:p>
        </w:tc>
        <w:tc>
          <w:tcPr>
            <w:tcW w:w="236" w:type="dxa"/>
            <w:vAlign w:val="center"/>
          </w:tcPr>
          <w:p w:rsidR="002743E3" w:rsidRDefault="002743E3"/>
        </w:tc>
        <w:tc>
          <w:tcPr>
            <w:tcW w:w="1570" w:type="dxa"/>
            <w:vMerge w:val="restart"/>
            <w:vAlign w:val="center"/>
          </w:tcPr>
          <w:p w:rsidR="002743E3" w:rsidRDefault="002743E3">
            <w:pPr>
              <w:jc w:val="center"/>
            </w:pPr>
            <w:r>
              <w:t>3.01</w:t>
            </w:r>
          </w:p>
        </w:tc>
        <w:tc>
          <w:tcPr>
            <w:tcW w:w="238" w:type="dxa"/>
            <w:vAlign w:val="center"/>
          </w:tcPr>
          <w:p w:rsidR="002743E3" w:rsidRDefault="002743E3"/>
        </w:tc>
        <w:tc>
          <w:tcPr>
            <w:tcW w:w="1570" w:type="dxa"/>
            <w:vMerge w:val="restart"/>
            <w:vAlign w:val="center"/>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tc>
        <w:tc>
          <w:tcPr>
            <w:tcW w:w="537" w:type="dxa"/>
            <w:vMerge/>
          </w:tcPr>
          <w:p w:rsidR="002743E3" w:rsidRDefault="002743E3"/>
        </w:tc>
        <w:tc>
          <w:tcPr>
            <w:tcW w:w="3690" w:type="dxa"/>
          </w:tcPr>
          <w:p w:rsidR="002743E3" w:rsidRDefault="002743E3">
            <w:r>
              <w:t>Inventory</w:t>
            </w:r>
          </w:p>
        </w:tc>
        <w:tc>
          <w:tcPr>
            <w:tcW w:w="1572" w:type="dxa"/>
            <w:vMerge/>
          </w:tcPr>
          <w:p w:rsidR="002743E3" w:rsidRDefault="002743E3">
            <w:pPr>
              <w:jc w:val="center"/>
            </w:pPr>
          </w:p>
        </w:tc>
        <w:tc>
          <w:tcPr>
            <w:tcW w:w="236" w:type="dxa"/>
          </w:tcPr>
          <w:p w:rsidR="002743E3" w:rsidRDefault="002743E3"/>
        </w:tc>
        <w:tc>
          <w:tcPr>
            <w:tcW w:w="1570" w:type="dxa"/>
            <w:vMerge/>
          </w:tcPr>
          <w:p w:rsidR="002743E3" w:rsidRDefault="002743E3">
            <w:pPr>
              <w:jc w:val="center"/>
            </w:pPr>
          </w:p>
        </w:tc>
        <w:tc>
          <w:tcPr>
            <w:tcW w:w="238" w:type="dxa"/>
          </w:tcPr>
          <w:p w:rsidR="002743E3" w:rsidRDefault="002743E3"/>
        </w:tc>
        <w:tc>
          <w:tcPr>
            <w:tcW w:w="1570" w:type="dxa"/>
            <w:vMerge/>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tc>
        <w:tc>
          <w:tcPr>
            <w:tcW w:w="537" w:type="dxa"/>
          </w:tcPr>
          <w:p w:rsidR="002743E3" w:rsidRDefault="002743E3"/>
        </w:tc>
        <w:tc>
          <w:tcPr>
            <w:tcW w:w="3690" w:type="dxa"/>
          </w:tcPr>
          <w:p w:rsidR="002743E3" w:rsidRDefault="002743E3"/>
        </w:tc>
        <w:tc>
          <w:tcPr>
            <w:tcW w:w="1572" w:type="dxa"/>
          </w:tcPr>
          <w:p w:rsidR="002743E3" w:rsidRDefault="002743E3">
            <w:pPr>
              <w:jc w:val="center"/>
            </w:pPr>
          </w:p>
        </w:tc>
        <w:tc>
          <w:tcPr>
            <w:tcW w:w="236" w:type="dxa"/>
          </w:tcPr>
          <w:p w:rsidR="002743E3" w:rsidRDefault="002743E3"/>
        </w:tc>
        <w:tc>
          <w:tcPr>
            <w:tcW w:w="1570" w:type="dxa"/>
          </w:tcPr>
          <w:p w:rsidR="002743E3" w:rsidRDefault="002743E3">
            <w:pPr>
              <w:jc w:val="center"/>
            </w:pPr>
          </w:p>
        </w:tc>
        <w:tc>
          <w:tcPr>
            <w:tcW w:w="238" w:type="dxa"/>
          </w:tcPr>
          <w:p w:rsidR="002743E3" w:rsidRDefault="002743E3"/>
        </w:tc>
        <w:tc>
          <w:tcPr>
            <w:tcW w:w="1570" w:type="dxa"/>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tc>
        <w:tc>
          <w:tcPr>
            <w:tcW w:w="537" w:type="dxa"/>
            <w:vMerge w:val="restart"/>
            <w:vAlign w:val="center"/>
          </w:tcPr>
          <w:p w:rsidR="002743E3" w:rsidRDefault="000867D5">
            <w:r>
              <w:t>3</w:t>
            </w:r>
            <w:bookmarkStart w:id="0" w:name="_GoBack"/>
            <w:bookmarkEnd w:id="0"/>
            <w:r w:rsidR="002743E3">
              <w:t>.</w:t>
            </w:r>
          </w:p>
        </w:tc>
        <w:tc>
          <w:tcPr>
            <w:tcW w:w="3690" w:type="dxa"/>
          </w:tcPr>
          <w:p w:rsidR="002743E3" w:rsidRDefault="002743E3">
            <w:pPr>
              <w:pStyle w:val="Heading7"/>
            </w:pPr>
            <w:r>
              <w:t>     Sales     </w:t>
            </w:r>
          </w:p>
        </w:tc>
        <w:tc>
          <w:tcPr>
            <w:tcW w:w="1572" w:type="dxa"/>
            <w:vMerge w:val="restart"/>
            <w:vAlign w:val="center"/>
          </w:tcPr>
          <w:p w:rsidR="002743E3" w:rsidRDefault="002743E3">
            <w:pPr>
              <w:jc w:val="center"/>
            </w:pPr>
            <w:r>
              <w:t>2.77</w:t>
            </w:r>
          </w:p>
        </w:tc>
        <w:tc>
          <w:tcPr>
            <w:tcW w:w="236" w:type="dxa"/>
            <w:vAlign w:val="center"/>
          </w:tcPr>
          <w:p w:rsidR="002743E3" w:rsidRDefault="002743E3"/>
        </w:tc>
        <w:tc>
          <w:tcPr>
            <w:tcW w:w="1570" w:type="dxa"/>
            <w:vMerge w:val="restart"/>
            <w:vAlign w:val="center"/>
          </w:tcPr>
          <w:p w:rsidR="002743E3" w:rsidRDefault="002743E3">
            <w:pPr>
              <w:jc w:val="center"/>
            </w:pPr>
            <w:r>
              <w:t>3.20</w:t>
            </w:r>
          </w:p>
        </w:tc>
        <w:tc>
          <w:tcPr>
            <w:tcW w:w="238" w:type="dxa"/>
            <w:vAlign w:val="center"/>
          </w:tcPr>
          <w:p w:rsidR="002743E3" w:rsidRDefault="002743E3"/>
        </w:tc>
        <w:tc>
          <w:tcPr>
            <w:tcW w:w="1570" w:type="dxa"/>
            <w:vMerge w:val="restart"/>
            <w:vAlign w:val="center"/>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tc>
        <w:tc>
          <w:tcPr>
            <w:tcW w:w="537" w:type="dxa"/>
            <w:vMerge/>
            <w:vAlign w:val="center"/>
          </w:tcPr>
          <w:p w:rsidR="002743E3" w:rsidRDefault="002743E3"/>
        </w:tc>
        <w:tc>
          <w:tcPr>
            <w:tcW w:w="3690" w:type="dxa"/>
          </w:tcPr>
          <w:p w:rsidR="002743E3" w:rsidRDefault="002743E3">
            <w:r>
              <w:t>Fixed assets</w:t>
            </w:r>
          </w:p>
        </w:tc>
        <w:tc>
          <w:tcPr>
            <w:tcW w:w="1572" w:type="dxa"/>
            <w:vMerge/>
          </w:tcPr>
          <w:p w:rsidR="002743E3" w:rsidRDefault="002743E3">
            <w:pPr>
              <w:jc w:val="center"/>
            </w:pPr>
          </w:p>
        </w:tc>
        <w:tc>
          <w:tcPr>
            <w:tcW w:w="236" w:type="dxa"/>
          </w:tcPr>
          <w:p w:rsidR="002743E3" w:rsidRDefault="002743E3"/>
        </w:tc>
        <w:tc>
          <w:tcPr>
            <w:tcW w:w="1570" w:type="dxa"/>
            <w:vMerge/>
          </w:tcPr>
          <w:p w:rsidR="002743E3" w:rsidRDefault="002743E3">
            <w:pPr>
              <w:jc w:val="center"/>
            </w:pPr>
          </w:p>
        </w:tc>
        <w:tc>
          <w:tcPr>
            <w:tcW w:w="238" w:type="dxa"/>
          </w:tcPr>
          <w:p w:rsidR="002743E3" w:rsidRDefault="002743E3"/>
        </w:tc>
        <w:tc>
          <w:tcPr>
            <w:tcW w:w="1570" w:type="dxa"/>
            <w:vMerge/>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r>
              <w:br w:type="page"/>
            </w:r>
          </w:p>
        </w:tc>
        <w:tc>
          <w:tcPr>
            <w:tcW w:w="537" w:type="dxa"/>
            <w:vAlign w:val="center"/>
          </w:tcPr>
          <w:p w:rsidR="002743E3" w:rsidRDefault="002743E3"/>
        </w:tc>
        <w:tc>
          <w:tcPr>
            <w:tcW w:w="3690" w:type="dxa"/>
          </w:tcPr>
          <w:p w:rsidR="002743E3" w:rsidRDefault="002743E3"/>
        </w:tc>
        <w:tc>
          <w:tcPr>
            <w:tcW w:w="1572" w:type="dxa"/>
          </w:tcPr>
          <w:p w:rsidR="002743E3" w:rsidRDefault="002743E3">
            <w:pPr>
              <w:jc w:val="center"/>
            </w:pPr>
          </w:p>
        </w:tc>
        <w:tc>
          <w:tcPr>
            <w:tcW w:w="236" w:type="dxa"/>
          </w:tcPr>
          <w:p w:rsidR="002743E3" w:rsidRDefault="002743E3"/>
        </w:tc>
        <w:tc>
          <w:tcPr>
            <w:tcW w:w="1570" w:type="dxa"/>
          </w:tcPr>
          <w:p w:rsidR="002743E3" w:rsidRDefault="002743E3">
            <w:pPr>
              <w:jc w:val="center"/>
            </w:pPr>
          </w:p>
        </w:tc>
        <w:tc>
          <w:tcPr>
            <w:tcW w:w="238" w:type="dxa"/>
          </w:tcPr>
          <w:p w:rsidR="002743E3" w:rsidRDefault="002743E3"/>
        </w:tc>
        <w:tc>
          <w:tcPr>
            <w:tcW w:w="1570" w:type="dxa"/>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tc>
        <w:tc>
          <w:tcPr>
            <w:tcW w:w="9649" w:type="dxa"/>
            <w:gridSpan w:val="8"/>
            <w:vAlign w:val="center"/>
          </w:tcPr>
          <w:p w:rsidR="002743E3" w:rsidRDefault="002743E3">
            <w:proofErr w:type="spellStart"/>
            <w:r>
              <w:t>Harrod's</w:t>
            </w:r>
            <w:proofErr w:type="spellEnd"/>
            <w:r>
              <w:t xml:space="preserve"> is clearly superior to the industry in receivables turnover (6.31 vs. 5.75) and inventory turnover (4.75 vs. 3.01) and this more than compensates for a lower sales to fixed assets ratio (2.77 vs. 3.20).</w:t>
            </w:r>
          </w:p>
        </w:tc>
      </w:tr>
      <w:tr w:rsidR="002743E3">
        <w:trPr>
          <w:cantSplit/>
        </w:trPr>
        <w:tc>
          <w:tcPr>
            <w:tcW w:w="381" w:type="dxa"/>
          </w:tcPr>
          <w:p w:rsidR="002743E3" w:rsidRDefault="002743E3"/>
        </w:tc>
        <w:tc>
          <w:tcPr>
            <w:tcW w:w="537" w:type="dxa"/>
            <w:vAlign w:val="center"/>
          </w:tcPr>
          <w:p w:rsidR="002743E3" w:rsidRDefault="002743E3"/>
        </w:tc>
        <w:tc>
          <w:tcPr>
            <w:tcW w:w="3690" w:type="dxa"/>
          </w:tcPr>
          <w:p w:rsidR="002743E3" w:rsidRDefault="002743E3"/>
        </w:tc>
        <w:tc>
          <w:tcPr>
            <w:tcW w:w="1572" w:type="dxa"/>
          </w:tcPr>
          <w:p w:rsidR="002743E3" w:rsidRDefault="002743E3">
            <w:pPr>
              <w:jc w:val="center"/>
            </w:pPr>
          </w:p>
        </w:tc>
        <w:tc>
          <w:tcPr>
            <w:tcW w:w="236" w:type="dxa"/>
          </w:tcPr>
          <w:p w:rsidR="002743E3" w:rsidRDefault="002743E3"/>
        </w:tc>
        <w:tc>
          <w:tcPr>
            <w:tcW w:w="1570" w:type="dxa"/>
          </w:tcPr>
          <w:p w:rsidR="002743E3" w:rsidRDefault="002743E3">
            <w:pPr>
              <w:jc w:val="center"/>
            </w:pPr>
          </w:p>
        </w:tc>
        <w:tc>
          <w:tcPr>
            <w:tcW w:w="238" w:type="dxa"/>
          </w:tcPr>
          <w:p w:rsidR="002743E3" w:rsidRDefault="002743E3"/>
        </w:tc>
        <w:tc>
          <w:tcPr>
            <w:tcW w:w="1570" w:type="dxa"/>
          </w:tcPr>
          <w:p w:rsidR="002743E3" w:rsidRDefault="002743E3">
            <w:pPr>
              <w:jc w:val="center"/>
            </w:pPr>
          </w:p>
        </w:tc>
        <w:tc>
          <w:tcPr>
            <w:tcW w:w="236" w:type="dxa"/>
          </w:tcPr>
          <w:p w:rsidR="002743E3" w:rsidRDefault="002743E3"/>
        </w:tc>
      </w:tr>
      <w:tr w:rsidR="002743E3">
        <w:trPr>
          <w:cantSplit/>
        </w:trPr>
        <w:tc>
          <w:tcPr>
            <w:tcW w:w="381" w:type="dxa"/>
          </w:tcPr>
          <w:p w:rsidR="002743E3" w:rsidRDefault="002743E3">
            <w:r>
              <w:t>7.</w:t>
            </w:r>
          </w:p>
        </w:tc>
        <w:tc>
          <w:tcPr>
            <w:tcW w:w="9649" w:type="dxa"/>
            <w:gridSpan w:val="8"/>
            <w:vAlign w:val="center"/>
          </w:tcPr>
          <w:p w:rsidR="002743E3" w:rsidRDefault="002743E3">
            <w:r>
              <w:t xml:space="preserve">Becky would appear to have strong grounds for a complaint. It appears that the banker was using unadjusted income statement numbers to arrive at the conclusion that </w:t>
            </w:r>
            <w:proofErr w:type="spellStart"/>
            <w:r>
              <w:t>Harrod's</w:t>
            </w:r>
            <w:proofErr w:type="spellEnd"/>
            <w:r>
              <w:t xml:space="preserve"> was on a downward trend in terms of the profitability ratios. Also, using unadjusted data the profit margin was below the industry average.</w:t>
            </w:r>
          </w:p>
          <w:p w:rsidR="002743E3" w:rsidRDefault="002743E3">
            <w:r>
              <w:t>    However, the inferior performance was due to an extraordinary, nonrecurring loss. In terms of normal operating performance, the company is clearly on an upward trend and well above the industry averages on all counts. One percent over prime appears to be much more reasonable than 2½ percent over prime.</w:t>
            </w:r>
          </w:p>
        </w:tc>
      </w:tr>
    </w:tbl>
    <w:p w:rsidR="002743E3" w:rsidRDefault="002743E3">
      <w:pPr>
        <w:pStyle w:val="Footer"/>
        <w:tabs>
          <w:tab w:val="clear" w:pos="4320"/>
          <w:tab w:val="clear" w:pos="8640"/>
        </w:tabs>
      </w:pPr>
    </w:p>
    <w:sectPr w:rsidR="002743E3" w:rsidSect="006C4789">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580" w:rsidRDefault="00145580">
      <w:r>
        <w:separator/>
      </w:r>
    </w:p>
  </w:endnote>
  <w:endnote w:type="continuationSeparator" w:id="0">
    <w:p w:rsidR="00145580" w:rsidRDefault="0014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E3" w:rsidRDefault="002743E3" w:rsidP="006C47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743E3" w:rsidRDefault="002743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E3" w:rsidRPr="006C4789" w:rsidRDefault="002743E3" w:rsidP="005F6F0D">
    <w:pPr>
      <w:pStyle w:val="Footer"/>
      <w:framePr w:wrap="around" w:vAnchor="text" w:hAnchor="margin" w:xAlign="center" w:y="1"/>
      <w:rPr>
        <w:rStyle w:val="PageNumber"/>
        <w:sz w:val="20"/>
      </w:rPr>
    </w:pPr>
    <w:r>
      <w:rPr>
        <w:rStyle w:val="PageNumber"/>
        <w:sz w:val="20"/>
      </w:rPr>
      <w:t>1-</w:t>
    </w:r>
    <w:r w:rsidRPr="006C4789">
      <w:rPr>
        <w:rStyle w:val="PageNumber"/>
        <w:sz w:val="20"/>
      </w:rPr>
      <w:fldChar w:fldCharType="begin"/>
    </w:r>
    <w:r w:rsidRPr="006C4789">
      <w:rPr>
        <w:rStyle w:val="PageNumber"/>
        <w:sz w:val="20"/>
      </w:rPr>
      <w:instrText xml:space="preserve">PAGE  </w:instrText>
    </w:r>
    <w:r w:rsidRPr="006C4789">
      <w:rPr>
        <w:rStyle w:val="PageNumber"/>
        <w:sz w:val="20"/>
      </w:rPr>
      <w:fldChar w:fldCharType="separate"/>
    </w:r>
    <w:r w:rsidR="000867D5">
      <w:rPr>
        <w:rStyle w:val="PageNumber"/>
        <w:noProof/>
        <w:sz w:val="20"/>
      </w:rPr>
      <w:t>3</w:t>
    </w:r>
    <w:r w:rsidRPr="006C4789">
      <w:rPr>
        <w:rStyle w:val="PageNumber"/>
        <w:sz w:val="20"/>
      </w:rPr>
      <w:fldChar w:fldCharType="end"/>
    </w:r>
  </w:p>
  <w:p w:rsidR="002743E3" w:rsidRDefault="002743E3" w:rsidP="006C4789">
    <w:pPr>
      <w:pStyle w:val="Footer"/>
      <w:jc w:val="center"/>
      <w:rPr>
        <w:noProof/>
        <w:sz w:val="20"/>
      </w:rPr>
    </w:pPr>
  </w:p>
  <w:p w:rsidR="002743E3" w:rsidRDefault="002743E3" w:rsidP="006C4789">
    <w:pPr>
      <w:pStyle w:val="Footer"/>
      <w:jc w:val="center"/>
    </w:pPr>
    <w:r>
      <w:rPr>
        <w:snapToGrid w:val="0"/>
        <w:sz w:val="16"/>
        <w:szCs w:val="16"/>
      </w:rPr>
      <w:t>Copyright © 2014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580" w:rsidRDefault="00145580">
      <w:r>
        <w:separator/>
      </w:r>
    </w:p>
  </w:footnote>
  <w:footnote w:type="continuationSeparator" w:id="0">
    <w:p w:rsidR="00145580" w:rsidRDefault="00145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3E3" w:rsidRPr="006C4789" w:rsidRDefault="002743E3" w:rsidP="006C4789">
    <w:pPr>
      <w:pStyle w:val="Header"/>
      <w:rPr>
        <w:sz w:val="20"/>
      </w:rPr>
    </w:pPr>
    <w:r w:rsidRPr="006C4789">
      <w:rPr>
        <w:sz w:val="20"/>
      </w:rPr>
      <w:t xml:space="preserve">Case </w:t>
    </w:r>
    <w:r>
      <w:rPr>
        <w:sz w:val="20"/>
      </w:rPr>
      <w:t>0</w:t>
    </w:r>
    <w:r w:rsidRPr="006C4789">
      <w:rPr>
        <w:sz w:val="20"/>
      </w:rPr>
      <w:t xml:space="preserve">1 - </w:t>
    </w:r>
    <w:proofErr w:type="spellStart"/>
    <w:r w:rsidRPr="006C4789">
      <w:rPr>
        <w:bCs/>
        <w:sz w:val="20"/>
      </w:rPr>
      <w:t>Harrod’s</w:t>
    </w:r>
    <w:proofErr w:type="spellEnd"/>
    <w:r w:rsidRPr="006C4789">
      <w:rPr>
        <w:bCs/>
        <w:sz w:val="20"/>
      </w:rPr>
      <w:t xml:space="preserve"> Sporting Goods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8B9"/>
    <w:multiLevelType w:val="singleLevel"/>
    <w:tmpl w:val="21BECF20"/>
    <w:lvl w:ilvl="0">
      <w:start w:val="1"/>
      <w:numFmt w:val="decimal"/>
      <w:lvlText w:val="%1."/>
      <w:lvlJc w:val="left"/>
      <w:pPr>
        <w:tabs>
          <w:tab w:val="num" w:pos="360"/>
        </w:tabs>
        <w:ind w:left="360" w:hanging="360"/>
      </w:pPr>
      <w:rPr>
        <w:rFonts w:cs="Times New Roman" w:hint="default"/>
      </w:rPr>
    </w:lvl>
  </w:abstractNum>
  <w:abstractNum w:abstractNumId="1">
    <w:nsid w:val="08D4620C"/>
    <w:multiLevelType w:val="hybridMultilevel"/>
    <w:tmpl w:val="574084A2"/>
    <w:lvl w:ilvl="0" w:tplc="21BECF2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03338CC"/>
    <w:multiLevelType w:val="singleLevel"/>
    <w:tmpl w:val="21BECF20"/>
    <w:lvl w:ilvl="0">
      <w:start w:val="5"/>
      <w:numFmt w:val="decimal"/>
      <w:lvlText w:val="%1."/>
      <w:lvlJc w:val="left"/>
      <w:pPr>
        <w:tabs>
          <w:tab w:val="num" w:pos="360"/>
        </w:tabs>
        <w:ind w:left="360" w:hanging="360"/>
      </w:pPr>
      <w:rPr>
        <w:rFonts w:cs="Times New Roman" w:hint="default"/>
      </w:rPr>
    </w:lvl>
  </w:abstractNum>
  <w:abstractNum w:abstractNumId="3">
    <w:nsid w:val="103B4AC6"/>
    <w:multiLevelType w:val="singleLevel"/>
    <w:tmpl w:val="21BECF20"/>
    <w:lvl w:ilvl="0">
      <w:start w:val="5"/>
      <w:numFmt w:val="decimal"/>
      <w:lvlText w:val="%1."/>
      <w:lvlJc w:val="left"/>
      <w:pPr>
        <w:tabs>
          <w:tab w:val="num" w:pos="360"/>
        </w:tabs>
        <w:ind w:left="360" w:hanging="360"/>
      </w:pPr>
      <w:rPr>
        <w:rFonts w:cs="Times New Roman" w:hint="default"/>
      </w:rPr>
    </w:lvl>
  </w:abstractNum>
  <w:abstractNum w:abstractNumId="4">
    <w:nsid w:val="18D6128B"/>
    <w:multiLevelType w:val="singleLevel"/>
    <w:tmpl w:val="FAECC9AC"/>
    <w:lvl w:ilvl="0">
      <w:start w:val="2"/>
      <w:numFmt w:val="decimal"/>
      <w:lvlText w:val="%1."/>
      <w:lvlJc w:val="left"/>
      <w:pPr>
        <w:tabs>
          <w:tab w:val="num" w:pos="360"/>
        </w:tabs>
        <w:ind w:left="360" w:hanging="360"/>
      </w:pPr>
      <w:rPr>
        <w:rFonts w:cs="Times New Roman" w:hint="default"/>
      </w:rPr>
    </w:lvl>
  </w:abstractNum>
  <w:abstractNum w:abstractNumId="5">
    <w:nsid w:val="28B60958"/>
    <w:multiLevelType w:val="singleLevel"/>
    <w:tmpl w:val="FAECC9AC"/>
    <w:lvl w:ilvl="0">
      <w:start w:val="1"/>
      <w:numFmt w:val="decimal"/>
      <w:lvlText w:val="%1."/>
      <w:lvlJc w:val="left"/>
      <w:pPr>
        <w:tabs>
          <w:tab w:val="num" w:pos="360"/>
        </w:tabs>
        <w:ind w:left="360" w:hanging="360"/>
      </w:pPr>
      <w:rPr>
        <w:rFonts w:cs="Times New Roman" w:hint="default"/>
      </w:rPr>
    </w:lvl>
  </w:abstractNum>
  <w:abstractNum w:abstractNumId="6">
    <w:nsid w:val="28BC668B"/>
    <w:multiLevelType w:val="singleLevel"/>
    <w:tmpl w:val="21BECF20"/>
    <w:lvl w:ilvl="0">
      <w:start w:val="1"/>
      <w:numFmt w:val="decimal"/>
      <w:lvlText w:val="%1."/>
      <w:lvlJc w:val="left"/>
      <w:pPr>
        <w:tabs>
          <w:tab w:val="num" w:pos="360"/>
        </w:tabs>
        <w:ind w:left="360" w:hanging="360"/>
      </w:pPr>
      <w:rPr>
        <w:rFonts w:cs="Times New Roman" w:hint="default"/>
      </w:rPr>
    </w:lvl>
  </w:abstractNum>
  <w:abstractNum w:abstractNumId="7">
    <w:nsid w:val="2BFC0E90"/>
    <w:multiLevelType w:val="singleLevel"/>
    <w:tmpl w:val="37EA5CC4"/>
    <w:lvl w:ilvl="0">
      <w:start w:val="5"/>
      <w:numFmt w:val="decimal"/>
      <w:lvlText w:val="%1."/>
      <w:lvlJc w:val="left"/>
      <w:pPr>
        <w:tabs>
          <w:tab w:val="num" w:pos="360"/>
        </w:tabs>
        <w:ind w:left="360" w:hanging="360"/>
      </w:pPr>
      <w:rPr>
        <w:rFonts w:cs="Times New Roman" w:hint="default"/>
      </w:rPr>
    </w:lvl>
  </w:abstractNum>
  <w:abstractNum w:abstractNumId="8">
    <w:nsid w:val="38665E09"/>
    <w:multiLevelType w:val="singleLevel"/>
    <w:tmpl w:val="090C5C32"/>
    <w:lvl w:ilvl="0">
      <w:start w:val="6"/>
      <w:numFmt w:val="decimal"/>
      <w:lvlText w:val="%1."/>
      <w:lvlJc w:val="left"/>
      <w:pPr>
        <w:tabs>
          <w:tab w:val="num" w:pos="360"/>
        </w:tabs>
        <w:ind w:left="360" w:hanging="360"/>
      </w:pPr>
      <w:rPr>
        <w:rFonts w:cs="Times New Roman" w:hint="default"/>
      </w:rPr>
    </w:lvl>
  </w:abstractNum>
  <w:abstractNum w:abstractNumId="9">
    <w:nsid w:val="4B8D328A"/>
    <w:multiLevelType w:val="singleLevel"/>
    <w:tmpl w:val="21BECF20"/>
    <w:lvl w:ilvl="0">
      <w:start w:val="8"/>
      <w:numFmt w:val="decimal"/>
      <w:lvlText w:val="%1."/>
      <w:lvlJc w:val="left"/>
      <w:pPr>
        <w:tabs>
          <w:tab w:val="num" w:pos="360"/>
        </w:tabs>
        <w:ind w:left="360" w:hanging="360"/>
      </w:pPr>
      <w:rPr>
        <w:rFonts w:cs="Times New Roman" w:hint="default"/>
      </w:rPr>
    </w:lvl>
  </w:abstractNum>
  <w:abstractNum w:abstractNumId="10">
    <w:nsid w:val="558174C4"/>
    <w:multiLevelType w:val="hybridMultilevel"/>
    <w:tmpl w:val="BF64073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61A24089"/>
    <w:multiLevelType w:val="singleLevel"/>
    <w:tmpl w:val="A9BE8F80"/>
    <w:lvl w:ilvl="0">
      <w:start w:val="1"/>
      <w:numFmt w:val="decimal"/>
      <w:lvlText w:val="%1."/>
      <w:lvlJc w:val="left"/>
      <w:pPr>
        <w:tabs>
          <w:tab w:val="num" w:pos="360"/>
        </w:tabs>
        <w:ind w:left="360" w:hanging="360"/>
      </w:pPr>
      <w:rPr>
        <w:rFonts w:cs="Times New Roman"/>
        <w:b w:val="0"/>
        <w:i w:val="0"/>
      </w:rPr>
    </w:lvl>
  </w:abstractNum>
  <w:abstractNum w:abstractNumId="12">
    <w:nsid w:val="699E275F"/>
    <w:multiLevelType w:val="hybridMultilevel"/>
    <w:tmpl w:val="50AC5316"/>
    <w:lvl w:ilvl="0" w:tplc="37AE6436">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9FB6AA3"/>
    <w:multiLevelType w:val="singleLevel"/>
    <w:tmpl w:val="A8241C46"/>
    <w:lvl w:ilvl="0">
      <w:start w:val="3"/>
      <w:numFmt w:val="decimal"/>
      <w:lvlText w:val="%1."/>
      <w:lvlJc w:val="left"/>
      <w:pPr>
        <w:tabs>
          <w:tab w:val="num" w:pos="360"/>
        </w:tabs>
        <w:ind w:left="360" w:hanging="360"/>
      </w:pPr>
      <w:rPr>
        <w:rFonts w:cs="Times New Roman" w:hint="default"/>
      </w:rPr>
    </w:lvl>
  </w:abstractNum>
  <w:num w:numId="1">
    <w:abstractNumId w:val="5"/>
  </w:num>
  <w:num w:numId="2">
    <w:abstractNumId w:val="4"/>
  </w:num>
  <w:num w:numId="3">
    <w:abstractNumId w:val="9"/>
  </w:num>
  <w:num w:numId="4">
    <w:abstractNumId w:val="0"/>
  </w:num>
  <w:num w:numId="5">
    <w:abstractNumId w:val="6"/>
  </w:num>
  <w:num w:numId="6">
    <w:abstractNumId w:val="2"/>
  </w:num>
  <w:num w:numId="7">
    <w:abstractNumId w:val="3"/>
  </w:num>
  <w:num w:numId="8">
    <w:abstractNumId w:val="11"/>
  </w:num>
  <w:num w:numId="9">
    <w:abstractNumId w:val="7"/>
  </w:num>
  <w:num w:numId="10">
    <w:abstractNumId w:val="13"/>
  </w:num>
  <w:num w:numId="11">
    <w:abstractNumId w:val="8"/>
  </w:num>
  <w:num w:numId="12">
    <w:abstractNumId w:val="1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C39"/>
    <w:rsid w:val="00075DD4"/>
    <w:rsid w:val="000807A9"/>
    <w:rsid w:val="000867D5"/>
    <w:rsid w:val="0009753E"/>
    <w:rsid w:val="000D24B6"/>
    <w:rsid w:val="000F36B4"/>
    <w:rsid w:val="00125813"/>
    <w:rsid w:val="00145580"/>
    <w:rsid w:val="00215DE3"/>
    <w:rsid w:val="002260D3"/>
    <w:rsid w:val="002743E3"/>
    <w:rsid w:val="00297132"/>
    <w:rsid w:val="002A192A"/>
    <w:rsid w:val="002D2EB8"/>
    <w:rsid w:val="0033070E"/>
    <w:rsid w:val="00335E0A"/>
    <w:rsid w:val="00345CCC"/>
    <w:rsid w:val="0038790C"/>
    <w:rsid w:val="003A2923"/>
    <w:rsid w:val="003B39F5"/>
    <w:rsid w:val="00420720"/>
    <w:rsid w:val="0048161A"/>
    <w:rsid w:val="00497166"/>
    <w:rsid w:val="004B526F"/>
    <w:rsid w:val="004C1492"/>
    <w:rsid w:val="004D2424"/>
    <w:rsid w:val="004E22F5"/>
    <w:rsid w:val="00597869"/>
    <w:rsid w:val="005A1555"/>
    <w:rsid w:val="005F6F0D"/>
    <w:rsid w:val="00624E5A"/>
    <w:rsid w:val="00665653"/>
    <w:rsid w:val="006C4789"/>
    <w:rsid w:val="00752335"/>
    <w:rsid w:val="00861BBF"/>
    <w:rsid w:val="008A2ED1"/>
    <w:rsid w:val="008B1C10"/>
    <w:rsid w:val="008C7B15"/>
    <w:rsid w:val="008F134C"/>
    <w:rsid w:val="00920E0C"/>
    <w:rsid w:val="00940EA8"/>
    <w:rsid w:val="0098012C"/>
    <w:rsid w:val="0099164E"/>
    <w:rsid w:val="009F4804"/>
    <w:rsid w:val="00A17FE9"/>
    <w:rsid w:val="00A3516A"/>
    <w:rsid w:val="00A55126"/>
    <w:rsid w:val="00A6284F"/>
    <w:rsid w:val="00AB6F1B"/>
    <w:rsid w:val="00AE1C39"/>
    <w:rsid w:val="00B04F6A"/>
    <w:rsid w:val="00B1693C"/>
    <w:rsid w:val="00B22C18"/>
    <w:rsid w:val="00B50970"/>
    <w:rsid w:val="00BB6B66"/>
    <w:rsid w:val="00C272C9"/>
    <w:rsid w:val="00DE7442"/>
    <w:rsid w:val="00F21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val="en-US" w:eastAsia="en-US"/>
    </w:rPr>
  </w:style>
  <w:style w:type="paragraph" w:styleId="Heading1">
    <w:name w:val="heading 1"/>
    <w:basedOn w:val="Normal"/>
    <w:next w:val="Normal"/>
    <w:link w:val="Heading1Char"/>
    <w:uiPriority w:val="9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pPr>
      <w:keepNext/>
      <w:spacing w:before="240" w:after="60"/>
      <w:outlineLvl w:val="1"/>
    </w:pPr>
    <w:rPr>
      <w:rFonts w:ascii="Arial" w:hAnsi="Arial"/>
      <w:b/>
      <w:i/>
      <w:sz w:val="24"/>
    </w:rPr>
  </w:style>
  <w:style w:type="paragraph" w:styleId="Heading3">
    <w:name w:val="heading 3"/>
    <w:basedOn w:val="Normal"/>
    <w:next w:val="Normal"/>
    <w:link w:val="Heading3Char"/>
    <w:uiPriority w:val="99"/>
    <w:qFormat/>
    <w:pPr>
      <w:keepNext/>
      <w:spacing w:before="240" w:after="60"/>
      <w:outlineLvl w:val="2"/>
    </w:pPr>
    <w:rPr>
      <w:rFonts w:ascii="Arial" w:hAnsi="Arial"/>
      <w:sz w:val="24"/>
    </w:rPr>
  </w:style>
  <w:style w:type="paragraph" w:styleId="Heading4">
    <w:name w:val="heading 4"/>
    <w:basedOn w:val="Normal"/>
    <w:next w:val="Normal"/>
    <w:link w:val="Heading4Char"/>
    <w:uiPriority w:val="99"/>
    <w:qFormat/>
    <w:pPr>
      <w:keepNext/>
      <w:tabs>
        <w:tab w:val="right" w:leader="dot" w:pos="4932"/>
      </w:tabs>
      <w:outlineLvl w:val="3"/>
    </w:pPr>
  </w:style>
  <w:style w:type="paragraph" w:styleId="Heading5">
    <w:name w:val="heading 5"/>
    <w:basedOn w:val="Normal"/>
    <w:next w:val="Normal"/>
    <w:link w:val="Heading5Char"/>
    <w:uiPriority w:val="99"/>
    <w:qFormat/>
    <w:pPr>
      <w:keepNext/>
      <w:ind w:left="360"/>
      <w:outlineLvl w:val="4"/>
    </w:pPr>
    <w:rPr>
      <w:i/>
    </w:rPr>
  </w:style>
  <w:style w:type="paragraph" w:styleId="Heading6">
    <w:name w:val="heading 6"/>
    <w:basedOn w:val="Normal"/>
    <w:next w:val="Normal"/>
    <w:link w:val="Heading6Char"/>
    <w:uiPriority w:val="99"/>
    <w:qFormat/>
    <w:pPr>
      <w:keepNext/>
      <w:jc w:val="right"/>
      <w:outlineLvl w:val="5"/>
    </w:pPr>
    <w:rPr>
      <w:i/>
    </w:rPr>
  </w:style>
  <w:style w:type="paragraph" w:styleId="Heading7">
    <w:name w:val="heading 7"/>
    <w:basedOn w:val="Normal"/>
    <w:next w:val="Normal"/>
    <w:link w:val="Heading7Char"/>
    <w:uiPriority w:val="99"/>
    <w:qFormat/>
    <w:pPr>
      <w:keepNext/>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80D07"/>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280D07"/>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280D07"/>
    <w:rPr>
      <w:rFonts w:ascii="Cambria" w:eastAsia="Times New Roman" w:hAnsi="Cambria" w:cs="Times New Roman"/>
      <w:b/>
      <w:bCs/>
      <w:sz w:val="26"/>
      <w:szCs w:val="26"/>
    </w:rPr>
  </w:style>
  <w:style w:type="character" w:customStyle="1" w:styleId="Heading4Char">
    <w:name w:val="Heading 4 Char"/>
    <w:link w:val="Heading4"/>
    <w:uiPriority w:val="9"/>
    <w:semiHidden/>
    <w:rsid w:val="00280D07"/>
    <w:rPr>
      <w:rFonts w:ascii="Calibri" w:eastAsia="Times New Roman" w:hAnsi="Calibri" w:cs="Times New Roman"/>
      <w:b/>
      <w:bCs/>
      <w:sz w:val="28"/>
      <w:szCs w:val="28"/>
    </w:rPr>
  </w:style>
  <w:style w:type="character" w:customStyle="1" w:styleId="Heading5Char">
    <w:name w:val="Heading 5 Char"/>
    <w:link w:val="Heading5"/>
    <w:uiPriority w:val="9"/>
    <w:semiHidden/>
    <w:rsid w:val="00280D07"/>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80D07"/>
    <w:rPr>
      <w:rFonts w:ascii="Calibri" w:eastAsia="Times New Roman" w:hAnsi="Calibri" w:cs="Times New Roman"/>
      <w:b/>
      <w:bCs/>
    </w:rPr>
  </w:style>
  <w:style w:type="character" w:customStyle="1" w:styleId="Heading7Char">
    <w:name w:val="Heading 7 Char"/>
    <w:link w:val="Heading7"/>
    <w:uiPriority w:val="9"/>
    <w:semiHidden/>
    <w:rsid w:val="00280D07"/>
    <w:rPr>
      <w:rFonts w:ascii="Calibri" w:eastAsia="Times New Roman" w:hAnsi="Calibri" w:cs="Times New Roman"/>
      <w:sz w:val="24"/>
      <w:szCs w:val="24"/>
    </w:rPr>
  </w:style>
  <w:style w:type="paragraph" w:customStyle="1" w:styleId="ChapterTitle">
    <w:name w:val="Chapter Title"/>
    <w:basedOn w:val="Normal"/>
    <w:next w:val="Normal"/>
    <w:uiPriority w:val="99"/>
    <w:rPr>
      <w:rFonts w:ascii="Arial" w:hAnsi="Arial"/>
      <w:b/>
      <w:sz w:val="32"/>
    </w:rPr>
  </w:style>
  <w:style w:type="paragraph" w:customStyle="1" w:styleId="Chapter">
    <w:name w:val="Chapter #"/>
    <w:basedOn w:val="Normal"/>
    <w:next w:val="Normal"/>
    <w:uiPriority w:val="99"/>
    <w:pPr>
      <w:pageBreakBefore/>
      <w:jc w:val="right"/>
    </w:pPr>
    <w:rPr>
      <w:rFonts w:ascii="Arial" w:hAnsi="Arial"/>
      <w:b/>
      <w:sz w:val="32"/>
    </w:rPr>
  </w:style>
  <w:style w:type="paragraph" w:styleId="BodyTextIndent">
    <w:name w:val="Body Text Indent"/>
    <w:basedOn w:val="Normal"/>
    <w:link w:val="BodyTextIndentChar"/>
    <w:uiPriority w:val="99"/>
    <w:pPr>
      <w:ind w:left="360"/>
    </w:pPr>
  </w:style>
  <w:style w:type="character" w:customStyle="1" w:styleId="BodyTextIndentChar">
    <w:name w:val="Body Text Indent Char"/>
    <w:link w:val="BodyTextIndent"/>
    <w:uiPriority w:val="99"/>
    <w:semiHidden/>
    <w:rsid w:val="00280D07"/>
    <w:rPr>
      <w:szCs w:val="20"/>
    </w:rPr>
  </w:style>
  <w:style w:type="paragraph" w:styleId="BodyTextIndent2">
    <w:name w:val="Body Text Indent 2"/>
    <w:basedOn w:val="Normal"/>
    <w:link w:val="BodyTextIndent2Char"/>
    <w:uiPriority w:val="99"/>
    <w:pPr>
      <w:tabs>
        <w:tab w:val="left" w:pos="360"/>
      </w:tabs>
      <w:ind w:left="360" w:hanging="360"/>
    </w:pPr>
  </w:style>
  <w:style w:type="character" w:customStyle="1" w:styleId="BodyTextIndent2Char">
    <w:name w:val="Body Text Indent 2 Char"/>
    <w:link w:val="BodyTextIndent2"/>
    <w:uiPriority w:val="99"/>
    <w:semiHidden/>
    <w:rsid w:val="00280D07"/>
    <w:rPr>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sid w:val="006C4789"/>
    <w:rPr>
      <w:rFonts w:cs="Times New Roman"/>
      <w:sz w:val="22"/>
      <w:lang w:val="en-US" w:eastAsia="en-US" w:bidi="ar-SA"/>
    </w:rPr>
  </w:style>
  <w:style w:type="character" w:styleId="PageNumber">
    <w:name w:val="page number"/>
    <w:uiPriority w:val="99"/>
    <w:rPr>
      <w:rFonts w:cs="Times New Roman"/>
    </w:rPr>
  </w:style>
  <w:style w:type="table" w:styleId="TableGrid">
    <w:name w:val="Table Grid"/>
    <w:basedOn w:val="TableNormal"/>
    <w:uiPriority w:val="99"/>
    <w:rsid w:val="00297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B6B66"/>
    <w:pPr>
      <w:tabs>
        <w:tab w:val="center" w:pos="4320"/>
        <w:tab w:val="right" w:pos="8640"/>
      </w:tabs>
    </w:pPr>
  </w:style>
  <w:style w:type="character" w:customStyle="1" w:styleId="HeaderChar">
    <w:name w:val="Header Char"/>
    <w:link w:val="Header"/>
    <w:uiPriority w:val="99"/>
    <w:semiHidden/>
    <w:rsid w:val="00280D07"/>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063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559</Words>
  <Characters>3190</Characters>
  <Application>Microsoft Office Word</Application>
  <DocSecurity>0</DocSecurity>
  <Lines>26</Lines>
  <Paragraphs>7</Paragraphs>
  <ScaleCrop>false</ScaleCrop>
  <Company>Freelance Editing and Writing</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Marsena Konkle</dc:creator>
  <cp:keywords/>
  <dc:description/>
  <cp:lastModifiedBy>Poornima K</cp:lastModifiedBy>
  <cp:revision>13</cp:revision>
  <cp:lastPrinted>2006-06-25T17:12:00Z</cp:lastPrinted>
  <dcterms:created xsi:type="dcterms:W3CDTF">2013-08-16T20:45:00Z</dcterms:created>
  <dcterms:modified xsi:type="dcterms:W3CDTF">2013-09-27T07:51:00Z</dcterms:modified>
</cp:coreProperties>
</file>