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DG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 inpatriate is an employee transferred out of the home base into the firm’s international organization.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HR department is the major user of language translation services.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IHR department does not get involved in the employee’s personal lives such as marital status and children when considered for assignments.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Less developed countries tend to have cheaper labor but more government regulations.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Culture shock is a phenomenon experiences by people who move across cultures.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 domestic HRM is involved with employees within one national boundary.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Compensation and benefit programs are not an activity of internal human resource management.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Awareness of cultural differences is not essential for the HR manager at corporate headquarters. It is only important for expatriate employees as well as those at the host location.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Multidomestic industries is one in which competition in each country is essentially independent of competition in other countries.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Multinational organizations need to strive for consistency in the ways of managing people on a worldwide basis in order to build, maintain and develop their corporate identity.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Cultural awareness is reflected by knowing that local employees feel an obligation to employ extended family even if they are unqualified for the position.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If a firm is in a multidomestic industry, the role of HR department will most likely be more domestic in structure and orientation.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 large home market is one of the key drivers for seeking a new international market.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Local HR activities, such as human resource planning and staffing, changes as a foreign subsidiary matures.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The nationality of an employee is not a major factor in determining the person “category” in an international firm.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Human considerations are as important as financial and marketing criteria in making decisions about multinational ventures.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Global mindset is necessary for the success of an international company.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US had 8 companies in the top 30 multinationals ranked by the transnational index.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Cross- culture management is examining human behavior within organizations from an international perspective.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The way diversity is managed within a single national context should transfer to a multinational context without modification.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It is a correct assumption that culture is usually used as a synonym for nation or national difference represents culture differences.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The first contributions to cross-cultural management research were made in the late 1930s.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Unforeseen conflicts and lower performance in many foreign business enterprises created doubts about how easily concepts and management research from the English speaking world could be transferred to other cultures.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One of the advantages of cross cultural studies is that there is one, widely accepted definition of the meaning of culture.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Hansen emphasizes culture as the standardization – the consistency of collective behavior.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Hofstede the Dutch researcher, famously likens or company’s culture to the “software of the mind”.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Schein considers “artefacts” as the invisible and unconscious conventions and perceptions deeply held by members on a culture.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There may be large similarities of the artefact level within the European Union, but values and assumptions held by members of various nations in the EU may differ significantly.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Cross cultural management studies aim to describe and compare the working behavior in various cultures.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Hofstede finally distinguished three cultural dimensions:  power distance, femininity vs. masculinity and individualism vs. collectivism.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Power Distance refers to the extent to which the members feel threatened by uncertainty, ambiguous or unstructured situations.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According to Hofstede a feminine orientation comprises the pursuit of financial success and a strong performance management approach.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Countries with weaker uncertainty avoidance are more likely to bring about fundamental innovations in weak processes as they have a greater tolerance for deviant thinking.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Collectivist society companies have more informal relationships between supervisors and employees.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The Mediterranean culture (France, Italy, Belgium and Spain) are characterized by small power distance and high collectivism.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The German speaking countries such as Germany, Austria and Switzerland are characterized by a strong tendency of uncertainty avoidance and relatively low power distance.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A criticism of Hofstede’s research is that he equates culture to national borders.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The Globe study distinguishes between practices (what should be) and values (what is).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The participation of 17 scholars from around the world helps to avoid a one-sided, Western focus to the research project.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The Trompenaars and Hampden-Turner study presents three aspects to culture:  relationships between people, concept of time and the concept of nature.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  <w:t>Cultural convergence relates to assuming a long-term stability in cultural differences.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An export manager is typically the first international HR position in a new international company.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  <w:t>Purchasing an international company automatically creates a separate international division of a company.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The Inpatriate manager performs a major role in identifying employees who can direct operations in a foreign subsidiary.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International division acting as an independent separate unit cannot be tolerated as the firm’s international activities become strategically more important.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The matrix structure area managers are responsible for the performances of all products within the various countries that comprise their regions.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Less human resources planning and management development are in the matrix structure of operations than traditional organization.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>Mixed structures are more complex and harder to explain and implement/control than a matrix structure.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>Intra-organizational networks comprise the organization’s headquarters and the numerous subsidiaries.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The metanational form is described as a global tournament.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>Centralized HR companies are operated within a matrix structure.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Training, performance, appraisals and staff movements are not impacted by the HR structural form.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>Europeans tend to take a different structural path than the US.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Chinese firms have many international operations.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European multinational firms are mainly from Germany.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Japanese based multinational firms are the only firms to successfully balance operations in all the regional blocks.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Formal structure controls are an international firm’s primary source of control.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Training and development, program reward systems and promotion are activities that reinforce company value systems.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Half of the US firms reported that HR functions were unrelated to the nature of the firm’s international operations.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HR departments are emerged in policies and procedures in the early international or export stage.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Centralized HR companies are characterized by devolving the HR responsibilities to a small group who reports to corporate headquarters.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A merger of two companies can be depicted by Company A and Company B form Company C.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>In an acquisition a new company is formed with a new identity and operation.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During most merger and acquisition processes top management retention is very high due to benefits of operating a foreign company.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>Identifying and assessing culture issues in an HR activity is the due diligence phase of merger and acquisition.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The strongest HR involvement takes place in the first two phases of the merger and acquisition phases.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Company relationships are not considered a resource in an HR function in a merger and acquisition strategy.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A tangible asset is money and people.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The command of the partners’ language is mainly a requirement for Eastern managers.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Performance related pay is more popular in Germany than the USA.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An exchange rate advantage is not a factor in considering a merger and acquisition strategy in a given country.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Parent companies in an international joint venture do not have a separate legal identity.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Gaining knowledge of both local business conditions and the research and development capabilities of the potential joint venture partner is a reason to enter into an international joint venture.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>SMEs constitute the backbone of the Asia Pacific region.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>Values shape employee’s priorities and decision making.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In the USA more than 80 per cent of total employment is with organizations with less than 20 employees.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Less qualified employees are employed by small to medium enterprises because they do not meet recruitment requirements of large organizations.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>Financial participation programs are offered to small to medium enterprises to increase the manager identification with the firm.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>In small to medium enterprises cross cultural training for expatriates is usually conducted as in-house training seminars.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HR activities can become a significant drain on managerial time and resources in an international small to medium enterprise.</w:t>
      </w:r>
    </w:p>
    <w:p w:rsidR="00C03C2B" w:rsidRDefault="00C03C2B" w:rsidP="00C03C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C2B" w:rsidRDefault="00C03C2B" w:rsidP="00C03C2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Small to medium firms have as much experience operating in a variety of different countries as large organizations.</w:t>
      </w:r>
    </w:p>
    <w:p w:rsidR="00DA39F6" w:rsidRDefault="00DA39F6">
      <w:bookmarkStart w:id="0" w:name="_GoBack"/>
      <w:bookmarkEnd w:id="0"/>
    </w:p>
    <w:sectPr w:rsidR="00DA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3F"/>
    <w:rsid w:val="0042103F"/>
    <w:rsid w:val="00C03C2B"/>
    <w:rsid w:val="00D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8390</Characters>
  <Application>Microsoft Office Word</Application>
  <DocSecurity>0</DocSecurity>
  <Lines>69</Lines>
  <Paragraphs>19</Paragraphs>
  <ScaleCrop>false</ScaleCrop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2021-09-23T01:47:00Z</dcterms:created>
  <dcterms:modified xsi:type="dcterms:W3CDTF">2021-09-23T01:47:00Z</dcterms:modified>
</cp:coreProperties>
</file>