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9" w:rsidRDefault="00CF6089" w:rsidP="00CF6089">
      <w:pPr>
        <w:jc w:val="center"/>
        <w:rPr>
          <w:b/>
          <w:u w:val="single"/>
        </w:rPr>
      </w:pPr>
      <w:r>
        <w:rPr>
          <w:b/>
          <w:u w:val="single"/>
        </w:rPr>
        <w:t>Quiz</w:t>
      </w:r>
    </w:p>
    <w:p w:rsidR="00CF6089" w:rsidRDefault="00CF6089" w:rsidP="00CF6089">
      <w:pPr>
        <w:jc w:val="center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Cargo is: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Freight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C00000"/>
        </w:rPr>
      </w:pPr>
      <w:r>
        <w:rPr>
          <w:color w:val="C00000"/>
        </w:rPr>
        <w:t>freight plus mail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The downstream end of a supply chain is: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supplier end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customer end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In the ‘unionist perspective’: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logistics is a part of SCM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SCM is a part of logistics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In the ‘traditionalist’ perspective: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logistics is a part of SCM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SCM is a part of logistics</w:t>
      </w:r>
    </w:p>
    <w:p w:rsidR="00CF6089" w:rsidRDefault="00CF6089" w:rsidP="00CF6089">
      <w:pPr>
        <w:ind w:left="1440"/>
        <w:jc w:val="both"/>
        <w:rPr>
          <w:color w:val="FF0000"/>
        </w:rPr>
      </w:pPr>
    </w:p>
    <w:p w:rsidR="00CF6089" w:rsidRDefault="00CF6089" w:rsidP="00CF6089">
      <w:pPr>
        <w:pStyle w:val="BodyText"/>
        <w:numPr>
          <w:ilvl w:val="0"/>
          <w:numId w:val="1"/>
        </w:num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Concerning the difference between logistics and SCM, which of the following perspectives is most popular:</w:t>
      </w:r>
    </w:p>
    <w:p w:rsidR="00CF6089" w:rsidRDefault="00CF6089" w:rsidP="00CF6089">
      <w:pPr>
        <w:pStyle w:val="BodyText"/>
        <w:spacing w:line="240" w:lineRule="auto"/>
        <w:ind w:left="720"/>
        <w:rPr>
          <w:szCs w:val="24"/>
          <w:lang w:val="en-US"/>
        </w:rPr>
      </w:pPr>
      <w:r>
        <w:rPr>
          <w:szCs w:val="24"/>
          <w:lang w:val="en-US"/>
        </w:rPr>
        <w:t>Re-labelling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Traditionalist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color w:val="FF0000"/>
          <w:szCs w:val="24"/>
          <w:lang w:val="en-US"/>
        </w:rPr>
        <w:t>Unionist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Intersectionist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A low value, high volume shipment has: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a high transport cost penalty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a low transport cost penalty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A supply chain is best understood as: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a linear chain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a multidimensional network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Effective transport deregulation typically aims to achieve (at least in theory):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cost reduction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service improvement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both</w:t>
      </w:r>
    </w:p>
    <w:p w:rsidR="00CF6089" w:rsidRDefault="00CF6089" w:rsidP="00CF6089">
      <w:pPr>
        <w:ind w:left="1440"/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Ethnocentricity involves: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adopting the perspective only of the home country where its headquarters are located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adopting the host country perspective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the company not adopting any particular country perspective(s)</w:t>
      </w:r>
    </w:p>
    <w:p w:rsidR="00CF6089" w:rsidRDefault="00CF6089" w:rsidP="00CF6089">
      <w:pPr>
        <w:jc w:val="both"/>
      </w:pPr>
    </w:p>
    <w:p w:rsidR="00CF6089" w:rsidRDefault="00CF6089" w:rsidP="00CF6089">
      <w:pPr>
        <w:numPr>
          <w:ilvl w:val="0"/>
          <w:numId w:val="1"/>
        </w:numPr>
        <w:jc w:val="both"/>
      </w:pPr>
      <w:r>
        <w:t>In the context of global logistics the acronym ‘TNC’ stands for:</w:t>
      </w:r>
    </w:p>
    <w:p w:rsidR="00CF6089" w:rsidRDefault="00CF6089" w:rsidP="00CF6089">
      <w:pPr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transnational corporation </w:t>
      </w:r>
    </w:p>
    <w:p w:rsidR="00CF6089" w:rsidRDefault="00CF6089" w:rsidP="00CF6089">
      <w:pPr>
        <w:numPr>
          <w:ilvl w:val="1"/>
          <w:numId w:val="1"/>
        </w:numPr>
        <w:jc w:val="both"/>
      </w:pPr>
      <w:r>
        <w:t>transnational competence</w:t>
      </w:r>
    </w:p>
    <w:p w:rsidR="00DD002E" w:rsidRDefault="00DD002E">
      <w:bookmarkStart w:id="0" w:name="_GoBack"/>
      <w:bookmarkEnd w:id="0"/>
    </w:p>
    <w:sectPr w:rsidR="00DD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1527"/>
    <w:multiLevelType w:val="hybridMultilevel"/>
    <w:tmpl w:val="FAF4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58"/>
    <w:rsid w:val="00510558"/>
    <w:rsid w:val="00CF6089"/>
    <w:rsid w:val="00D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6089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608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6089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608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2020-11-12T01:06:00Z</dcterms:created>
  <dcterms:modified xsi:type="dcterms:W3CDTF">2020-11-12T01:07:00Z</dcterms:modified>
</cp:coreProperties>
</file>