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94" w:rsidRPr="005F2AF3" w:rsidRDefault="00DB6794" w:rsidP="005F2AF3">
      <w:pPr>
        <w:pStyle w:val="Heading1"/>
      </w:pPr>
      <w:r w:rsidRPr="005F2AF3">
        <w:t>CHAPTER 1</w:t>
      </w:r>
    </w:p>
    <w:p w:rsidR="00DB6794" w:rsidRDefault="00DB6794" w:rsidP="005F2AF3">
      <w:pPr>
        <w:pStyle w:val="text"/>
        <w:jc w:val="center"/>
        <w:rPr>
          <w:b/>
        </w:rPr>
      </w:pPr>
      <w:r w:rsidRPr="005F2AF3">
        <w:rPr>
          <w:b/>
        </w:rPr>
        <w:t>T</w:t>
      </w:r>
      <w:r w:rsidR="00331FA3" w:rsidRPr="005F2AF3">
        <w:rPr>
          <w:b/>
        </w:rPr>
        <w:t>he</w:t>
      </w:r>
      <w:r w:rsidRPr="005F2AF3">
        <w:rPr>
          <w:b/>
        </w:rPr>
        <w:t xml:space="preserve"> </w:t>
      </w:r>
      <w:r w:rsidR="00331FA3" w:rsidRPr="005F2AF3">
        <w:rPr>
          <w:b/>
        </w:rPr>
        <w:t>Demand for and Supply of Financial Accounting Information</w:t>
      </w:r>
    </w:p>
    <w:p w:rsidR="005F2AF3" w:rsidRDefault="005F2AF3" w:rsidP="005F2AF3">
      <w:pPr>
        <w:pStyle w:val="text"/>
        <w:jc w:val="center"/>
        <w:rPr>
          <w:b/>
        </w:rPr>
      </w:pPr>
    </w:p>
    <w:p w:rsidR="006B444D" w:rsidRDefault="006B444D" w:rsidP="005F2AF3">
      <w:pPr>
        <w:pStyle w:val="text"/>
        <w:jc w:val="center"/>
        <w:rPr>
          <w:b/>
        </w:rPr>
      </w:pPr>
    </w:p>
    <w:p w:rsidR="006B444D" w:rsidRPr="00CB188F" w:rsidRDefault="006B444D" w:rsidP="006B444D">
      <w:pPr>
        <w:pStyle w:val="text"/>
        <w:rPr>
          <w:u w:val="single"/>
        </w:rPr>
      </w:pPr>
      <w:r w:rsidRPr="00CB188F">
        <w:rPr>
          <w:u w:val="single"/>
        </w:rPr>
        <w:t xml:space="preserve">CONTENT ANALYSIS OF </w:t>
      </w:r>
      <w:r w:rsidRPr="00CB188F">
        <w:rPr>
          <w:rFonts w:cs="Tahoma"/>
          <w:color w:val="000000"/>
          <w:szCs w:val="20"/>
          <w:u w:val="single"/>
        </w:rPr>
        <w:t>END-OF-CHAPTER ASSIGNMENTS</w:t>
      </w:r>
    </w:p>
    <w:p w:rsidR="006B444D" w:rsidRDefault="006B444D" w:rsidP="006B444D">
      <w:pPr>
        <w:pStyle w:val="text"/>
      </w:pP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825"/>
        <w:gridCol w:w="2146"/>
        <w:gridCol w:w="2862"/>
        <w:gridCol w:w="288"/>
        <w:gridCol w:w="717"/>
        <w:gridCol w:w="1252"/>
        <w:gridCol w:w="431"/>
        <w:gridCol w:w="1288"/>
        <w:gridCol w:w="1432"/>
        <w:gridCol w:w="1575"/>
      </w:tblGrid>
      <w:tr w:rsidR="006B444D" w:rsidRPr="00F06876" w:rsidTr="002D2750">
        <w:trPr>
          <w:trHeight w:val="300"/>
        </w:trPr>
        <w:tc>
          <w:tcPr>
            <w:tcW w:w="853" w:type="dxa"/>
            <w:shd w:val="clear" w:color="auto" w:fill="auto"/>
            <w:noWrap/>
            <w:tcMar>
              <w:top w:w="10" w:type="dxa"/>
              <w:left w:w="10" w:type="dxa"/>
              <w:bottom w:w="0" w:type="dxa"/>
              <w:right w:w="10" w:type="dxa"/>
            </w:tcMar>
            <w:vAlign w:val="bottom"/>
            <w:hideMark/>
          </w:tcPr>
          <w:p w:rsidR="006B444D" w:rsidRPr="00F06876" w:rsidRDefault="006B444D" w:rsidP="00B91A3B">
            <w:pPr>
              <w:pStyle w:val="Gridtextheads"/>
            </w:pPr>
            <w:r w:rsidRPr="00F06876">
              <w:t>Number</w:t>
            </w:r>
          </w:p>
        </w:tc>
        <w:tc>
          <w:tcPr>
            <w:tcW w:w="2222" w:type="dxa"/>
            <w:shd w:val="clear" w:color="auto" w:fill="auto"/>
            <w:tcMar>
              <w:top w:w="10" w:type="dxa"/>
              <w:left w:w="10" w:type="dxa"/>
              <w:bottom w:w="0" w:type="dxa"/>
              <w:right w:w="10" w:type="dxa"/>
            </w:tcMar>
            <w:vAlign w:val="bottom"/>
            <w:hideMark/>
          </w:tcPr>
          <w:p w:rsidR="006B444D" w:rsidRPr="00F06876" w:rsidRDefault="006B444D" w:rsidP="00B91A3B">
            <w:pPr>
              <w:pStyle w:val="Gridtextheads"/>
            </w:pPr>
            <w:r w:rsidRPr="00F06876">
              <w:t>Topic</w:t>
            </w:r>
          </w:p>
        </w:tc>
        <w:tc>
          <w:tcPr>
            <w:tcW w:w="2963" w:type="dxa"/>
            <w:shd w:val="clear" w:color="auto" w:fill="auto"/>
            <w:tcMar>
              <w:top w:w="10" w:type="dxa"/>
              <w:left w:w="10" w:type="dxa"/>
              <w:bottom w:w="0" w:type="dxa"/>
              <w:right w:w="10" w:type="dxa"/>
            </w:tcMar>
            <w:vAlign w:val="bottom"/>
            <w:hideMark/>
          </w:tcPr>
          <w:p w:rsidR="006B444D" w:rsidRPr="00F06876" w:rsidRDefault="006B444D" w:rsidP="00B91A3B">
            <w:pPr>
              <w:pStyle w:val="Gridtextheads"/>
            </w:pPr>
            <w:r w:rsidRPr="00F06876">
              <w:t>Content</w:t>
            </w:r>
          </w:p>
        </w:tc>
        <w:tc>
          <w:tcPr>
            <w:tcW w:w="297" w:type="dxa"/>
            <w:shd w:val="clear" w:color="auto" w:fill="auto"/>
            <w:tcMar>
              <w:top w:w="10" w:type="dxa"/>
              <w:left w:w="10" w:type="dxa"/>
              <w:bottom w:w="0" w:type="dxa"/>
              <w:right w:w="10" w:type="dxa"/>
            </w:tcMar>
            <w:vAlign w:val="bottom"/>
            <w:hideMark/>
          </w:tcPr>
          <w:p w:rsidR="006B444D" w:rsidRPr="00F06876" w:rsidRDefault="006B444D" w:rsidP="00A415D1">
            <w:pPr>
              <w:pStyle w:val="Gridtextheads"/>
            </w:pPr>
            <w:r w:rsidRPr="00F06876">
              <w:t>LO</w:t>
            </w:r>
          </w:p>
        </w:tc>
        <w:tc>
          <w:tcPr>
            <w:tcW w:w="741" w:type="dxa"/>
            <w:shd w:val="clear" w:color="auto" w:fill="auto"/>
            <w:noWrap/>
            <w:tcMar>
              <w:top w:w="10" w:type="dxa"/>
              <w:left w:w="10" w:type="dxa"/>
              <w:bottom w:w="0" w:type="dxa"/>
              <w:right w:w="10" w:type="dxa"/>
            </w:tcMar>
            <w:vAlign w:val="bottom"/>
            <w:hideMark/>
          </w:tcPr>
          <w:p w:rsidR="006B444D" w:rsidRPr="00F06876" w:rsidRDefault="006B444D" w:rsidP="00B91A3B">
            <w:pPr>
              <w:pStyle w:val="Gridtextheads"/>
            </w:pPr>
            <w:r w:rsidRPr="00F06876">
              <w:t>Adapted</w:t>
            </w:r>
          </w:p>
        </w:tc>
        <w:tc>
          <w:tcPr>
            <w:tcW w:w="1296" w:type="dxa"/>
            <w:shd w:val="clear" w:color="auto" w:fill="auto"/>
            <w:noWrap/>
            <w:tcMar>
              <w:top w:w="10" w:type="dxa"/>
              <w:left w:w="10" w:type="dxa"/>
              <w:bottom w:w="0" w:type="dxa"/>
              <w:right w:w="10" w:type="dxa"/>
            </w:tcMar>
            <w:vAlign w:val="bottom"/>
            <w:hideMark/>
          </w:tcPr>
          <w:p w:rsidR="006B444D" w:rsidRPr="00F06876" w:rsidRDefault="006B444D" w:rsidP="00B91A3B">
            <w:pPr>
              <w:pStyle w:val="Gridtextheads"/>
            </w:pPr>
            <w:r w:rsidRPr="00F06876">
              <w:t>Difficulty</w:t>
            </w:r>
          </w:p>
        </w:tc>
        <w:tc>
          <w:tcPr>
            <w:tcW w:w="445" w:type="dxa"/>
            <w:shd w:val="clear" w:color="auto" w:fill="auto"/>
            <w:noWrap/>
            <w:tcMar>
              <w:top w:w="10" w:type="dxa"/>
              <w:left w:w="10" w:type="dxa"/>
              <w:bottom w:w="0" w:type="dxa"/>
              <w:right w:w="10" w:type="dxa"/>
            </w:tcMar>
            <w:vAlign w:val="bottom"/>
            <w:hideMark/>
          </w:tcPr>
          <w:p w:rsidR="006B444D" w:rsidRPr="00F06876" w:rsidRDefault="006B444D" w:rsidP="00A415D1">
            <w:pPr>
              <w:pStyle w:val="Gridtextheads"/>
            </w:pPr>
            <w:r w:rsidRPr="00F06876">
              <w:t>Time</w:t>
            </w:r>
            <w:r>
              <w:br/>
            </w:r>
            <w:r w:rsidRPr="00F06876">
              <w:t>Est</w:t>
            </w:r>
            <w:r>
              <w:t>.</w:t>
            </w:r>
          </w:p>
        </w:tc>
        <w:tc>
          <w:tcPr>
            <w:tcW w:w="1333" w:type="dxa"/>
            <w:shd w:val="clear" w:color="auto" w:fill="auto"/>
            <w:noWrap/>
            <w:tcMar>
              <w:top w:w="10" w:type="dxa"/>
              <w:left w:w="10" w:type="dxa"/>
              <w:bottom w:w="0" w:type="dxa"/>
              <w:right w:w="10" w:type="dxa"/>
            </w:tcMar>
            <w:vAlign w:val="bottom"/>
            <w:hideMark/>
          </w:tcPr>
          <w:p w:rsidR="006B444D" w:rsidRPr="00F06876" w:rsidRDefault="006B444D" w:rsidP="00B91A3B">
            <w:pPr>
              <w:pStyle w:val="Gridtextheads"/>
            </w:pPr>
            <w:r w:rsidRPr="00F06876">
              <w:t>AACSB</w:t>
            </w:r>
          </w:p>
        </w:tc>
        <w:tc>
          <w:tcPr>
            <w:tcW w:w="1482" w:type="dxa"/>
            <w:shd w:val="clear" w:color="auto" w:fill="auto"/>
            <w:noWrap/>
            <w:tcMar>
              <w:top w:w="10" w:type="dxa"/>
              <w:left w:w="10" w:type="dxa"/>
              <w:bottom w:w="0" w:type="dxa"/>
              <w:right w:w="10" w:type="dxa"/>
            </w:tcMar>
            <w:vAlign w:val="bottom"/>
            <w:hideMark/>
          </w:tcPr>
          <w:p w:rsidR="006B444D" w:rsidRPr="00F06876" w:rsidRDefault="006B444D" w:rsidP="00B91A3B">
            <w:pPr>
              <w:pStyle w:val="Gridtextheads"/>
            </w:pPr>
            <w:r w:rsidRPr="00F06876">
              <w:t>AICPA</w:t>
            </w:r>
          </w:p>
        </w:tc>
        <w:tc>
          <w:tcPr>
            <w:tcW w:w="1630" w:type="dxa"/>
            <w:shd w:val="clear" w:color="auto" w:fill="auto"/>
            <w:noWrap/>
            <w:tcMar>
              <w:top w:w="10" w:type="dxa"/>
              <w:left w:w="10" w:type="dxa"/>
              <w:bottom w:w="0" w:type="dxa"/>
              <w:right w:w="10" w:type="dxa"/>
            </w:tcMar>
            <w:vAlign w:val="bottom"/>
            <w:hideMark/>
          </w:tcPr>
          <w:p w:rsidR="006B444D" w:rsidRPr="00F06876" w:rsidRDefault="006B444D" w:rsidP="00B91A3B">
            <w:pPr>
              <w:pStyle w:val="Gridtextheads"/>
            </w:pPr>
            <w:r w:rsidRPr="00F06876">
              <w:t>Bloom’s</w:t>
            </w:r>
          </w:p>
        </w:tc>
      </w:tr>
      <w:tr w:rsidR="006B444D" w:rsidRPr="000B4B45" w:rsidTr="002D2750">
        <w:trPr>
          <w:trHeight w:val="300"/>
        </w:trPr>
        <w:tc>
          <w:tcPr>
            <w:tcW w:w="85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Q1</w:t>
            </w:r>
            <w:r>
              <w:t>-1</w:t>
            </w:r>
            <w:r>
              <w:br/>
            </w:r>
          </w:p>
        </w:tc>
        <w:tc>
          <w:tcPr>
            <w:tcW w:w="2222"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Role of Financial Reporting</w:t>
            </w:r>
          </w:p>
        </w:tc>
        <w:tc>
          <w:tcPr>
            <w:tcW w:w="2963"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Financial accounting; financial reporting</w:t>
            </w:r>
          </w:p>
        </w:tc>
        <w:tc>
          <w:tcPr>
            <w:tcW w:w="297" w:type="dxa"/>
            <w:shd w:val="clear" w:color="auto" w:fill="auto"/>
            <w:tcMar>
              <w:top w:w="10" w:type="dxa"/>
              <w:left w:w="10" w:type="dxa"/>
              <w:bottom w:w="0" w:type="dxa"/>
              <w:right w:w="10" w:type="dxa"/>
            </w:tcMar>
            <w:vAlign w:val="bottom"/>
            <w:hideMark/>
          </w:tcPr>
          <w:p w:rsidR="006B444D" w:rsidRPr="000B4B45" w:rsidRDefault="006B444D" w:rsidP="00A415D1">
            <w:pPr>
              <w:pStyle w:val="Gridtext"/>
              <w:jc w:val="center"/>
            </w:pPr>
            <w:r w:rsidRPr="000B4B45">
              <w:t>1</w:t>
            </w:r>
            <w:r>
              <w:br/>
            </w:r>
          </w:p>
        </w:tc>
        <w:tc>
          <w:tcPr>
            <w:tcW w:w="741" w:type="dxa"/>
            <w:shd w:val="clear" w:color="auto" w:fill="auto"/>
            <w:noWrap/>
            <w:tcMar>
              <w:top w:w="10" w:type="dxa"/>
              <w:left w:w="10" w:type="dxa"/>
              <w:bottom w:w="0" w:type="dxa"/>
              <w:right w:w="10" w:type="dxa"/>
            </w:tcMar>
            <w:vAlign w:val="bottom"/>
            <w:hideMark/>
          </w:tcPr>
          <w:p w:rsidR="006B444D" w:rsidRPr="00546972" w:rsidRDefault="006B444D" w:rsidP="00B91A3B">
            <w:pPr>
              <w:pStyle w:val="Gridtext"/>
            </w:pPr>
          </w:p>
        </w:tc>
        <w:tc>
          <w:tcPr>
            <w:tcW w:w="1296"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Easy</w:t>
            </w:r>
            <w:r>
              <w:br/>
            </w:r>
          </w:p>
        </w:tc>
        <w:tc>
          <w:tcPr>
            <w:tcW w:w="445" w:type="dxa"/>
            <w:shd w:val="clear" w:color="auto" w:fill="auto"/>
            <w:noWrap/>
            <w:tcMar>
              <w:top w:w="10" w:type="dxa"/>
              <w:left w:w="10" w:type="dxa"/>
              <w:bottom w:w="0" w:type="dxa"/>
              <w:right w:w="10" w:type="dxa"/>
            </w:tcMar>
            <w:vAlign w:val="bottom"/>
            <w:hideMark/>
          </w:tcPr>
          <w:p w:rsidR="006B444D" w:rsidRPr="000B4B45" w:rsidRDefault="006B444D" w:rsidP="00A415D1">
            <w:pPr>
              <w:pStyle w:val="Gridtext"/>
              <w:jc w:val="center"/>
            </w:pPr>
            <w:r w:rsidRPr="000B4B45">
              <w:t>5</w:t>
            </w:r>
            <w:r>
              <w:br/>
            </w:r>
          </w:p>
        </w:tc>
        <w:tc>
          <w:tcPr>
            <w:tcW w:w="1333" w:type="dxa"/>
            <w:shd w:val="clear" w:color="auto" w:fill="auto"/>
            <w:noWrap/>
            <w:tcMar>
              <w:top w:w="10" w:type="dxa"/>
              <w:left w:w="10" w:type="dxa"/>
              <w:bottom w:w="0" w:type="dxa"/>
              <w:right w:w="10" w:type="dxa"/>
            </w:tcMar>
            <w:vAlign w:val="bottom"/>
            <w:hideMark/>
          </w:tcPr>
          <w:p w:rsidR="006B444D" w:rsidRPr="00845944" w:rsidRDefault="006B444D" w:rsidP="00B91A3B">
            <w:pPr>
              <w:pStyle w:val="Gridtext"/>
            </w:pPr>
            <w:r w:rsidRPr="00845944">
              <w:t>Analytic</w:t>
            </w:r>
            <w:r>
              <w:br/>
            </w:r>
          </w:p>
        </w:tc>
        <w:tc>
          <w:tcPr>
            <w:tcW w:w="1482"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Measurement</w:t>
            </w:r>
            <w:r>
              <w:br/>
            </w:r>
          </w:p>
        </w:tc>
        <w:tc>
          <w:tcPr>
            <w:tcW w:w="1630"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Comprehension</w:t>
            </w:r>
            <w:r>
              <w:br/>
            </w:r>
          </w:p>
        </w:tc>
      </w:tr>
      <w:tr w:rsidR="006B444D" w:rsidRPr="000B4B45" w:rsidTr="002D2750">
        <w:trPr>
          <w:trHeight w:val="300"/>
        </w:trPr>
        <w:tc>
          <w:tcPr>
            <w:tcW w:w="85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Q1</w:t>
            </w:r>
            <w:r>
              <w:t>-</w:t>
            </w:r>
            <w:r w:rsidRPr="000B4B45">
              <w:t>2</w:t>
            </w:r>
            <w:r w:rsidR="00D16938">
              <w:br/>
            </w:r>
          </w:p>
        </w:tc>
        <w:tc>
          <w:tcPr>
            <w:tcW w:w="2222"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Financial Reporting Stakeholders</w:t>
            </w:r>
          </w:p>
        </w:tc>
        <w:tc>
          <w:tcPr>
            <w:tcW w:w="2963"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Major categories of financial reporting stakeholders</w:t>
            </w:r>
          </w:p>
        </w:tc>
        <w:tc>
          <w:tcPr>
            <w:tcW w:w="297" w:type="dxa"/>
            <w:shd w:val="clear" w:color="auto" w:fill="auto"/>
            <w:tcMar>
              <w:top w:w="10" w:type="dxa"/>
              <w:left w:w="10" w:type="dxa"/>
              <w:bottom w:w="0" w:type="dxa"/>
              <w:right w:w="10" w:type="dxa"/>
            </w:tcMar>
            <w:vAlign w:val="bottom"/>
            <w:hideMark/>
          </w:tcPr>
          <w:p w:rsidR="00D16938" w:rsidRPr="000B4B45" w:rsidRDefault="00D16938" w:rsidP="00A415D1">
            <w:pPr>
              <w:pStyle w:val="Gridtext"/>
              <w:jc w:val="center"/>
            </w:pPr>
            <w:r>
              <w:t>1</w:t>
            </w:r>
            <w:r>
              <w:br/>
            </w:r>
          </w:p>
        </w:tc>
        <w:tc>
          <w:tcPr>
            <w:tcW w:w="741"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p>
        </w:tc>
        <w:tc>
          <w:tcPr>
            <w:tcW w:w="1296"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Easy</w:t>
            </w:r>
            <w:r w:rsidR="00D16938">
              <w:br/>
            </w:r>
          </w:p>
        </w:tc>
        <w:tc>
          <w:tcPr>
            <w:tcW w:w="445" w:type="dxa"/>
            <w:shd w:val="clear" w:color="auto" w:fill="auto"/>
            <w:noWrap/>
            <w:tcMar>
              <w:top w:w="10" w:type="dxa"/>
              <w:left w:w="10" w:type="dxa"/>
              <w:bottom w:w="0" w:type="dxa"/>
              <w:right w:w="10" w:type="dxa"/>
            </w:tcMar>
            <w:vAlign w:val="bottom"/>
            <w:hideMark/>
          </w:tcPr>
          <w:p w:rsidR="006B444D" w:rsidRPr="000B4B45" w:rsidRDefault="006B444D" w:rsidP="00A415D1">
            <w:pPr>
              <w:pStyle w:val="Gridtext"/>
              <w:jc w:val="center"/>
            </w:pPr>
            <w:r w:rsidRPr="000B4B45">
              <w:t>5</w:t>
            </w:r>
            <w:r w:rsidR="00D16938">
              <w:br/>
            </w:r>
          </w:p>
        </w:tc>
        <w:tc>
          <w:tcPr>
            <w:tcW w:w="133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Analytic</w:t>
            </w:r>
            <w:r w:rsidR="00D16938">
              <w:br/>
            </w:r>
          </w:p>
        </w:tc>
        <w:tc>
          <w:tcPr>
            <w:tcW w:w="1482"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Measurement</w:t>
            </w:r>
            <w:r w:rsidR="00D16938">
              <w:br/>
            </w:r>
          </w:p>
        </w:tc>
        <w:tc>
          <w:tcPr>
            <w:tcW w:w="1630" w:type="dxa"/>
            <w:shd w:val="clear" w:color="auto" w:fill="auto"/>
            <w:noWrap/>
            <w:tcMar>
              <w:top w:w="10" w:type="dxa"/>
              <w:left w:w="10" w:type="dxa"/>
              <w:bottom w:w="0" w:type="dxa"/>
              <w:right w:w="10" w:type="dxa"/>
            </w:tcMar>
            <w:vAlign w:val="bottom"/>
            <w:hideMark/>
          </w:tcPr>
          <w:p w:rsidR="006B444D" w:rsidRPr="000B4B45" w:rsidRDefault="00D16938" w:rsidP="00B91A3B">
            <w:pPr>
              <w:pStyle w:val="Gridtext"/>
            </w:pPr>
            <w:r>
              <w:rPr>
                <w:color w:val="000000"/>
              </w:rPr>
              <w:t>Comprehension</w:t>
            </w:r>
            <w:r>
              <w:rPr>
                <w:color w:val="000000"/>
              </w:rPr>
              <w:br/>
            </w:r>
          </w:p>
        </w:tc>
      </w:tr>
      <w:tr w:rsidR="006B444D" w:rsidRPr="000B4B45" w:rsidTr="002D2750">
        <w:trPr>
          <w:trHeight w:val="300"/>
        </w:trPr>
        <w:tc>
          <w:tcPr>
            <w:tcW w:w="85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Q1</w:t>
            </w:r>
            <w:r w:rsidR="00B91A3B">
              <w:t>-</w:t>
            </w:r>
            <w:r w:rsidRPr="000B4B45">
              <w:t>3</w:t>
            </w:r>
          </w:p>
        </w:tc>
        <w:tc>
          <w:tcPr>
            <w:tcW w:w="2222"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Financial Reporting Stakeholders</w:t>
            </w:r>
          </w:p>
        </w:tc>
        <w:tc>
          <w:tcPr>
            <w:tcW w:w="2963"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Different information needs of investors and creditors</w:t>
            </w:r>
          </w:p>
        </w:tc>
        <w:tc>
          <w:tcPr>
            <w:tcW w:w="297" w:type="dxa"/>
            <w:shd w:val="clear" w:color="auto" w:fill="auto"/>
            <w:tcMar>
              <w:top w:w="10" w:type="dxa"/>
              <w:left w:w="10" w:type="dxa"/>
              <w:bottom w:w="0" w:type="dxa"/>
              <w:right w:w="10" w:type="dxa"/>
            </w:tcMar>
            <w:vAlign w:val="bottom"/>
            <w:hideMark/>
          </w:tcPr>
          <w:p w:rsidR="006B444D" w:rsidRPr="000B4B45" w:rsidRDefault="00D16938" w:rsidP="00A415D1">
            <w:pPr>
              <w:pStyle w:val="Gridtext"/>
              <w:jc w:val="center"/>
            </w:pPr>
            <w:r>
              <w:rPr>
                <w:color w:val="000000"/>
              </w:rPr>
              <w:t>1</w:t>
            </w:r>
            <w:r>
              <w:rPr>
                <w:color w:val="000000"/>
              </w:rPr>
              <w:br/>
            </w:r>
          </w:p>
        </w:tc>
        <w:tc>
          <w:tcPr>
            <w:tcW w:w="741"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p>
        </w:tc>
        <w:tc>
          <w:tcPr>
            <w:tcW w:w="1296"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Easy</w:t>
            </w:r>
          </w:p>
        </w:tc>
        <w:tc>
          <w:tcPr>
            <w:tcW w:w="445" w:type="dxa"/>
            <w:shd w:val="clear" w:color="auto" w:fill="auto"/>
            <w:noWrap/>
            <w:tcMar>
              <w:top w:w="10" w:type="dxa"/>
              <w:left w:w="10" w:type="dxa"/>
              <w:bottom w:w="0" w:type="dxa"/>
              <w:right w:w="10" w:type="dxa"/>
            </w:tcMar>
            <w:vAlign w:val="bottom"/>
            <w:hideMark/>
          </w:tcPr>
          <w:p w:rsidR="006B444D" w:rsidRPr="000B4B45" w:rsidRDefault="006B444D" w:rsidP="00A415D1">
            <w:pPr>
              <w:pStyle w:val="Gridtext"/>
              <w:jc w:val="center"/>
            </w:pPr>
            <w:r w:rsidRPr="000B4B45">
              <w:t>5</w:t>
            </w:r>
          </w:p>
        </w:tc>
        <w:tc>
          <w:tcPr>
            <w:tcW w:w="133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Analytic</w:t>
            </w:r>
          </w:p>
        </w:tc>
        <w:tc>
          <w:tcPr>
            <w:tcW w:w="1482"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Measurement</w:t>
            </w:r>
          </w:p>
        </w:tc>
        <w:tc>
          <w:tcPr>
            <w:tcW w:w="1630" w:type="dxa"/>
            <w:shd w:val="clear" w:color="auto" w:fill="auto"/>
            <w:noWrap/>
            <w:tcMar>
              <w:top w:w="10" w:type="dxa"/>
              <w:left w:w="10" w:type="dxa"/>
              <w:bottom w:w="0" w:type="dxa"/>
              <w:right w:w="10" w:type="dxa"/>
            </w:tcMar>
            <w:vAlign w:val="bottom"/>
            <w:hideMark/>
          </w:tcPr>
          <w:p w:rsidR="006B444D" w:rsidRPr="000B4B45" w:rsidRDefault="00D16938" w:rsidP="00B91A3B">
            <w:pPr>
              <w:pStyle w:val="Gridtext"/>
            </w:pPr>
            <w:r>
              <w:rPr>
                <w:color w:val="000000"/>
              </w:rPr>
              <w:t>Application</w:t>
            </w:r>
          </w:p>
        </w:tc>
      </w:tr>
      <w:tr w:rsidR="006B444D" w:rsidRPr="000B4B45" w:rsidTr="002D2750">
        <w:trPr>
          <w:trHeight w:val="300"/>
        </w:trPr>
        <w:tc>
          <w:tcPr>
            <w:tcW w:w="85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Q1</w:t>
            </w:r>
            <w:r>
              <w:t>-</w:t>
            </w:r>
            <w:r w:rsidRPr="000B4B45">
              <w:t>4</w:t>
            </w:r>
            <w:r w:rsidR="00D16938">
              <w:br/>
            </w:r>
            <w:r>
              <w:br/>
            </w:r>
          </w:p>
        </w:tc>
        <w:tc>
          <w:tcPr>
            <w:tcW w:w="2222"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Financial Reporting Stakeholders</w:t>
            </w:r>
            <w:r w:rsidR="00D16938">
              <w:rPr>
                <w:color w:val="000000"/>
              </w:rPr>
              <w:br/>
            </w:r>
          </w:p>
        </w:tc>
        <w:tc>
          <w:tcPr>
            <w:tcW w:w="2963"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Information asymmetry between financial reporting preparers and users</w:t>
            </w:r>
          </w:p>
        </w:tc>
        <w:tc>
          <w:tcPr>
            <w:tcW w:w="297" w:type="dxa"/>
            <w:shd w:val="clear" w:color="auto" w:fill="auto"/>
            <w:tcMar>
              <w:top w:w="10" w:type="dxa"/>
              <w:left w:w="10" w:type="dxa"/>
              <w:bottom w:w="0" w:type="dxa"/>
              <w:right w:w="10" w:type="dxa"/>
            </w:tcMar>
            <w:vAlign w:val="bottom"/>
            <w:hideMark/>
          </w:tcPr>
          <w:p w:rsidR="006B444D" w:rsidRPr="000B4B45" w:rsidRDefault="00D16938" w:rsidP="00A415D1">
            <w:pPr>
              <w:pStyle w:val="Gridtext"/>
              <w:jc w:val="center"/>
            </w:pPr>
            <w:r>
              <w:rPr>
                <w:color w:val="000000"/>
              </w:rPr>
              <w:t>1</w:t>
            </w:r>
            <w:r>
              <w:rPr>
                <w:color w:val="000000"/>
              </w:rPr>
              <w:br/>
            </w:r>
            <w:r>
              <w:rPr>
                <w:color w:val="000000"/>
              </w:rPr>
              <w:br/>
            </w:r>
          </w:p>
        </w:tc>
        <w:tc>
          <w:tcPr>
            <w:tcW w:w="741"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p>
        </w:tc>
        <w:tc>
          <w:tcPr>
            <w:tcW w:w="1296"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Easy</w:t>
            </w:r>
            <w:r>
              <w:br/>
            </w:r>
            <w:r w:rsidR="00D16938">
              <w:br/>
            </w:r>
          </w:p>
        </w:tc>
        <w:tc>
          <w:tcPr>
            <w:tcW w:w="445" w:type="dxa"/>
            <w:shd w:val="clear" w:color="auto" w:fill="auto"/>
            <w:noWrap/>
            <w:tcMar>
              <w:top w:w="10" w:type="dxa"/>
              <w:left w:w="10" w:type="dxa"/>
              <w:bottom w:w="0" w:type="dxa"/>
              <w:right w:w="10" w:type="dxa"/>
            </w:tcMar>
            <w:vAlign w:val="bottom"/>
            <w:hideMark/>
          </w:tcPr>
          <w:p w:rsidR="006B444D" w:rsidRPr="000B4B45" w:rsidRDefault="006B444D" w:rsidP="00A415D1">
            <w:pPr>
              <w:pStyle w:val="Gridtext"/>
              <w:jc w:val="center"/>
            </w:pPr>
            <w:r w:rsidRPr="000B4B45">
              <w:t>5</w:t>
            </w:r>
            <w:r>
              <w:br/>
            </w:r>
            <w:r w:rsidR="00D16938">
              <w:br/>
            </w:r>
          </w:p>
        </w:tc>
        <w:tc>
          <w:tcPr>
            <w:tcW w:w="133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Analytic</w:t>
            </w:r>
            <w:r>
              <w:br/>
            </w:r>
            <w:r w:rsidR="00D16938">
              <w:br/>
            </w:r>
          </w:p>
        </w:tc>
        <w:tc>
          <w:tcPr>
            <w:tcW w:w="1482"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Measurement</w:t>
            </w:r>
            <w:r>
              <w:br/>
            </w:r>
            <w:r w:rsidR="00D16938">
              <w:br/>
            </w:r>
          </w:p>
        </w:tc>
        <w:tc>
          <w:tcPr>
            <w:tcW w:w="1630" w:type="dxa"/>
            <w:shd w:val="clear" w:color="auto" w:fill="auto"/>
            <w:noWrap/>
            <w:tcMar>
              <w:top w:w="10" w:type="dxa"/>
              <w:left w:w="10" w:type="dxa"/>
              <w:bottom w:w="0" w:type="dxa"/>
              <w:right w:w="10" w:type="dxa"/>
            </w:tcMar>
            <w:vAlign w:val="bottom"/>
            <w:hideMark/>
          </w:tcPr>
          <w:p w:rsidR="006B444D" w:rsidRPr="000B4B45" w:rsidRDefault="00D16938" w:rsidP="00B91A3B">
            <w:pPr>
              <w:pStyle w:val="Gridtext"/>
            </w:pPr>
            <w:r>
              <w:rPr>
                <w:color w:val="000000"/>
              </w:rPr>
              <w:t>Comprehension</w:t>
            </w:r>
            <w:r w:rsidR="006B444D">
              <w:br/>
            </w:r>
            <w:r>
              <w:br/>
            </w:r>
          </w:p>
        </w:tc>
      </w:tr>
      <w:tr w:rsidR="006B444D" w:rsidRPr="000B4B45" w:rsidTr="002D2750">
        <w:trPr>
          <w:trHeight w:val="300"/>
        </w:trPr>
        <w:tc>
          <w:tcPr>
            <w:tcW w:w="85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Q1</w:t>
            </w:r>
            <w:r>
              <w:t>-</w:t>
            </w:r>
            <w:r w:rsidRPr="000B4B45">
              <w:t>5</w:t>
            </w:r>
            <w:r>
              <w:br/>
            </w:r>
          </w:p>
        </w:tc>
        <w:tc>
          <w:tcPr>
            <w:tcW w:w="2222" w:type="dxa"/>
            <w:shd w:val="clear" w:color="auto" w:fill="auto"/>
            <w:tcMar>
              <w:top w:w="10" w:type="dxa"/>
              <w:left w:w="10" w:type="dxa"/>
              <w:bottom w:w="0" w:type="dxa"/>
              <w:right w:w="10" w:type="dxa"/>
            </w:tcMar>
            <w:vAlign w:val="bottom"/>
            <w:hideMark/>
          </w:tcPr>
          <w:p w:rsidR="006B444D" w:rsidRPr="000B4B45" w:rsidRDefault="00B91A3B" w:rsidP="00B91A3B">
            <w:pPr>
              <w:pStyle w:val="Gridtext"/>
            </w:pPr>
            <w:r>
              <w:rPr>
                <w:color w:val="000000"/>
              </w:rPr>
              <w:t>Financial Reporting Stakeholders</w:t>
            </w:r>
          </w:p>
        </w:tc>
        <w:tc>
          <w:tcPr>
            <w:tcW w:w="2963" w:type="dxa"/>
            <w:shd w:val="clear" w:color="auto" w:fill="auto"/>
            <w:tcMar>
              <w:top w:w="10" w:type="dxa"/>
              <w:left w:w="10" w:type="dxa"/>
              <w:bottom w:w="0" w:type="dxa"/>
              <w:right w:w="10" w:type="dxa"/>
            </w:tcMar>
            <w:vAlign w:val="bottom"/>
            <w:hideMark/>
          </w:tcPr>
          <w:p w:rsidR="006B444D" w:rsidRPr="000B4B45" w:rsidRDefault="00AE6A64" w:rsidP="00110B91">
            <w:pPr>
              <w:pStyle w:val="Gridtext"/>
            </w:pPr>
            <w:r>
              <w:rPr>
                <w:color w:val="000000"/>
              </w:rPr>
              <w:t>Demand for financial reporting information</w:t>
            </w:r>
          </w:p>
        </w:tc>
        <w:tc>
          <w:tcPr>
            <w:tcW w:w="297" w:type="dxa"/>
            <w:shd w:val="clear" w:color="auto" w:fill="auto"/>
            <w:tcMar>
              <w:top w:w="10" w:type="dxa"/>
              <w:left w:w="10" w:type="dxa"/>
              <w:bottom w:w="0" w:type="dxa"/>
              <w:right w:w="10" w:type="dxa"/>
            </w:tcMar>
            <w:vAlign w:val="bottom"/>
            <w:hideMark/>
          </w:tcPr>
          <w:p w:rsidR="006B444D" w:rsidRPr="000B4B45" w:rsidRDefault="00D16938" w:rsidP="00A415D1">
            <w:pPr>
              <w:pStyle w:val="Gridtext"/>
              <w:jc w:val="center"/>
            </w:pPr>
            <w:r>
              <w:rPr>
                <w:color w:val="000000"/>
              </w:rPr>
              <w:t>1</w:t>
            </w:r>
            <w:r>
              <w:rPr>
                <w:color w:val="000000"/>
              </w:rPr>
              <w:br/>
            </w:r>
          </w:p>
        </w:tc>
        <w:tc>
          <w:tcPr>
            <w:tcW w:w="741"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p>
        </w:tc>
        <w:tc>
          <w:tcPr>
            <w:tcW w:w="1296"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Easy</w:t>
            </w:r>
            <w:r>
              <w:br/>
            </w:r>
          </w:p>
        </w:tc>
        <w:tc>
          <w:tcPr>
            <w:tcW w:w="445" w:type="dxa"/>
            <w:shd w:val="clear" w:color="auto" w:fill="auto"/>
            <w:noWrap/>
            <w:tcMar>
              <w:top w:w="10" w:type="dxa"/>
              <w:left w:w="10" w:type="dxa"/>
              <w:bottom w:w="0" w:type="dxa"/>
              <w:right w:w="10" w:type="dxa"/>
            </w:tcMar>
            <w:vAlign w:val="bottom"/>
            <w:hideMark/>
          </w:tcPr>
          <w:p w:rsidR="006B444D" w:rsidRPr="000B4B45" w:rsidRDefault="006B444D" w:rsidP="00A415D1">
            <w:pPr>
              <w:pStyle w:val="Gridtext"/>
              <w:jc w:val="center"/>
            </w:pPr>
            <w:r w:rsidRPr="000B4B45">
              <w:t>5</w:t>
            </w:r>
            <w:r>
              <w:br/>
            </w:r>
          </w:p>
        </w:tc>
        <w:tc>
          <w:tcPr>
            <w:tcW w:w="1333"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Analytic</w:t>
            </w:r>
            <w:r>
              <w:br/>
            </w:r>
          </w:p>
        </w:tc>
        <w:tc>
          <w:tcPr>
            <w:tcW w:w="1482" w:type="dxa"/>
            <w:shd w:val="clear" w:color="auto" w:fill="auto"/>
            <w:noWrap/>
            <w:tcMar>
              <w:top w:w="10" w:type="dxa"/>
              <w:left w:w="10" w:type="dxa"/>
              <w:bottom w:w="0" w:type="dxa"/>
              <w:right w:w="10" w:type="dxa"/>
            </w:tcMar>
            <w:vAlign w:val="bottom"/>
            <w:hideMark/>
          </w:tcPr>
          <w:p w:rsidR="006B444D" w:rsidRPr="000B4B45" w:rsidRDefault="006B444D" w:rsidP="00B91A3B">
            <w:pPr>
              <w:pStyle w:val="Gridtext"/>
            </w:pPr>
            <w:r w:rsidRPr="000B4B45">
              <w:t>Measurement</w:t>
            </w:r>
            <w:r>
              <w:br/>
            </w:r>
          </w:p>
        </w:tc>
        <w:tc>
          <w:tcPr>
            <w:tcW w:w="1630" w:type="dxa"/>
            <w:shd w:val="clear" w:color="auto" w:fill="auto"/>
            <w:noWrap/>
            <w:tcMar>
              <w:top w:w="10" w:type="dxa"/>
              <w:left w:w="10" w:type="dxa"/>
              <w:bottom w:w="0" w:type="dxa"/>
              <w:right w:w="10" w:type="dxa"/>
            </w:tcMar>
            <w:vAlign w:val="bottom"/>
            <w:hideMark/>
          </w:tcPr>
          <w:p w:rsidR="006B444D" w:rsidRPr="000B4B45" w:rsidRDefault="00D16938" w:rsidP="00B91A3B">
            <w:pPr>
              <w:pStyle w:val="Gridtext"/>
            </w:pPr>
            <w:r>
              <w:rPr>
                <w:color w:val="000000"/>
              </w:rPr>
              <w:t>Application</w:t>
            </w:r>
            <w:r w:rsidR="006B444D">
              <w:br/>
            </w:r>
          </w:p>
        </w:tc>
      </w:tr>
      <w:tr w:rsidR="00110B91" w:rsidRPr="000B4B45" w:rsidTr="002D2750">
        <w:trPr>
          <w:trHeight w:val="300"/>
        </w:trPr>
        <w:tc>
          <w:tcPr>
            <w:tcW w:w="853" w:type="dxa"/>
            <w:shd w:val="clear" w:color="auto" w:fill="auto"/>
            <w:noWrap/>
            <w:tcMar>
              <w:top w:w="10" w:type="dxa"/>
              <w:left w:w="10" w:type="dxa"/>
              <w:bottom w:w="0" w:type="dxa"/>
              <w:right w:w="10" w:type="dxa"/>
            </w:tcMar>
            <w:vAlign w:val="bottom"/>
            <w:hideMark/>
          </w:tcPr>
          <w:p w:rsidR="00110B91" w:rsidRPr="000B4B45" w:rsidRDefault="00110B91" w:rsidP="00110B91">
            <w:pPr>
              <w:pStyle w:val="Gridtext"/>
            </w:pPr>
            <w:r w:rsidRPr="000B4B45">
              <w:t>Q1</w:t>
            </w:r>
            <w:r>
              <w:t>-6</w:t>
            </w:r>
            <w:r w:rsidR="00BC3865">
              <w:br/>
            </w:r>
            <w:r w:rsidR="00BC3865">
              <w:br/>
            </w:r>
          </w:p>
        </w:tc>
        <w:tc>
          <w:tcPr>
            <w:tcW w:w="2222" w:type="dxa"/>
            <w:shd w:val="clear" w:color="auto" w:fill="auto"/>
            <w:tcMar>
              <w:top w:w="10" w:type="dxa"/>
              <w:left w:w="10" w:type="dxa"/>
              <w:bottom w:w="0" w:type="dxa"/>
              <w:right w:w="10" w:type="dxa"/>
            </w:tcMar>
            <w:vAlign w:val="bottom"/>
            <w:hideMark/>
          </w:tcPr>
          <w:p w:rsidR="00110B91" w:rsidRDefault="00110B91" w:rsidP="00B91A3B">
            <w:pPr>
              <w:pStyle w:val="Gridtext"/>
              <w:rPr>
                <w:color w:val="000000"/>
              </w:rPr>
            </w:pPr>
            <w:r>
              <w:rPr>
                <w:color w:val="000000"/>
              </w:rPr>
              <w:t>Accounting Standards and Audits</w:t>
            </w:r>
            <w:r w:rsidR="00BC3865">
              <w:rPr>
                <w:color w:val="000000"/>
              </w:rPr>
              <w:br/>
            </w:r>
          </w:p>
        </w:tc>
        <w:tc>
          <w:tcPr>
            <w:tcW w:w="2963" w:type="dxa"/>
            <w:shd w:val="clear" w:color="auto" w:fill="auto"/>
            <w:tcMar>
              <w:top w:w="10" w:type="dxa"/>
              <w:left w:w="10" w:type="dxa"/>
              <w:bottom w:w="0" w:type="dxa"/>
              <w:right w:w="10" w:type="dxa"/>
            </w:tcMar>
            <w:vAlign w:val="bottom"/>
            <w:hideMark/>
          </w:tcPr>
          <w:p w:rsidR="00110B91" w:rsidRDefault="00110B91" w:rsidP="00110B91">
            <w:pPr>
              <w:pStyle w:val="Gridtext"/>
              <w:rPr>
                <w:color w:val="000000"/>
              </w:rPr>
            </w:pPr>
            <w:r>
              <w:rPr>
                <w:color w:val="000000"/>
              </w:rPr>
              <w:t>Demand for accounting standards and audit verification</w:t>
            </w:r>
          </w:p>
        </w:tc>
        <w:tc>
          <w:tcPr>
            <w:tcW w:w="297" w:type="dxa"/>
            <w:shd w:val="clear" w:color="auto" w:fill="auto"/>
            <w:tcMar>
              <w:top w:w="10" w:type="dxa"/>
              <w:left w:w="10" w:type="dxa"/>
              <w:bottom w:w="0" w:type="dxa"/>
              <w:right w:w="10" w:type="dxa"/>
            </w:tcMar>
            <w:vAlign w:val="bottom"/>
            <w:hideMark/>
          </w:tcPr>
          <w:p w:rsidR="00110B91" w:rsidRDefault="00BC3865" w:rsidP="00A415D1">
            <w:pPr>
              <w:pStyle w:val="Gridtext"/>
              <w:jc w:val="center"/>
              <w:rPr>
                <w:color w:val="000000"/>
              </w:rPr>
            </w:pPr>
            <w:r>
              <w:rPr>
                <w:color w:val="000000"/>
              </w:rPr>
              <w:t>1</w:t>
            </w:r>
            <w:r>
              <w:rPr>
                <w:color w:val="000000"/>
              </w:rPr>
              <w:br/>
            </w:r>
            <w:r>
              <w:rPr>
                <w:color w:val="000000"/>
              </w:rPr>
              <w:br/>
            </w:r>
          </w:p>
        </w:tc>
        <w:tc>
          <w:tcPr>
            <w:tcW w:w="741"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p>
        </w:tc>
        <w:tc>
          <w:tcPr>
            <w:tcW w:w="1296"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Easy</w:t>
            </w:r>
            <w:r>
              <w:rPr>
                <w:color w:val="000000"/>
              </w:rPr>
              <w:br/>
            </w:r>
            <w:r>
              <w:rPr>
                <w:color w:val="000000"/>
              </w:rPr>
              <w:br/>
            </w:r>
          </w:p>
        </w:tc>
        <w:tc>
          <w:tcPr>
            <w:tcW w:w="445" w:type="dxa"/>
            <w:shd w:val="clear" w:color="auto" w:fill="auto"/>
            <w:noWrap/>
            <w:tcMar>
              <w:top w:w="10" w:type="dxa"/>
              <w:left w:w="10" w:type="dxa"/>
              <w:bottom w:w="0" w:type="dxa"/>
              <w:right w:w="10" w:type="dxa"/>
            </w:tcMar>
            <w:vAlign w:val="bottom"/>
            <w:hideMark/>
          </w:tcPr>
          <w:p w:rsidR="00110B91" w:rsidRPr="000B4B45" w:rsidRDefault="00BC3865" w:rsidP="00A415D1">
            <w:pPr>
              <w:pStyle w:val="Gridtext"/>
              <w:jc w:val="center"/>
            </w:pPr>
            <w:r>
              <w:rPr>
                <w:color w:val="000000"/>
              </w:rPr>
              <w:t>5</w:t>
            </w:r>
            <w:r>
              <w:rPr>
                <w:color w:val="000000"/>
              </w:rPr>
              <w:br/>
            </w:r>
            <w:r>
              <w:rPr>
                <w:color w:val="000000"/>
              </w:rPr>
              <w:br/>
            </w:r>
          </w:p>
        </w:tc>
        <w:tc>
          <w:tcPr>
            <w:tcW w:w="1333"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Analytic</w:t>
            </w:r>
            <w:r>
              <w:rPr>
                <w:color w:val="000000"/>
              </w:rPr>
              <w:br/>
            </w:r>
            <w:r>
              <w:rPr>
                <w:color w:val="000000"/>
              </w:rPr>
              <w:br/>
            </w:r>
          </w:p>
        </w:tc>
        <w:tc>
          <w:tcPr>
            <w:tcW w:w="1482"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Measurement</w:t>
            </w:r>
            <w:r>
              <w:rPr>
                <w:color w:val="000000"/>
              </w:rPr>
              <w:br/>
            </w:r>
            <w:r>
              <w:rPr>
                <w:color w:val="000000"/>
              </w:rPr>
              <w:br/>
            </w:r>
          </w:p>
        </w:tc>
        <w:tc>
          <w:tcPr>
            <w:tcW w:w="1630" w:type="dxa"/>
            <w:shd w:val="clear" w:color="auto" w:fill="auto"/>
            <w:noWrap/>
            <w:tcMar>
              <w:top w:w="10" w:type="dxa"/>
              <w:left w:w="10" w:type="dxa"/>
              <w:bottom w:w="0" w:type="dxa"/>
              <w:right w:w="10" w:type="dxa"/>
            </w:tcMar>
            <w:vAlign w:val="bottom"/>
            <w:hideMark/>
          </w:tcPr>
          <w:p w:rsidR="00110B91" w:rsidRDefault="00BC3865" w:rsidP="00B91A3B">
            <w:pPr>
              <w:pStyle w:val="Gridtext"/>
              <w:rPr>
                <w:color w:val="000000"/>
              </w:rPr>
            </w:pPr>
            <w:r>
              <w:rPr>
                <w:color w:val="000000"/>
              </w:rPr>
              <w:t>Comprehension</w:t>
            </w:r>
            <w:r>
              <w:rPr>
                <w:color w:val="000000"/>
              </w:rPr>
              <w:br/>
            </w:r>
            <w:r>
              <w:rPr>
                <w:color w:val="000000"/>
              </w:rPr>
              <w:br/>
            </w:r>
          </w:p>
        </w:tc>
      </w:tr>
      <w:tr w:rsidR="00110B91" w:rsidRPr="000B4B45" w:rsidTr="002D2750">
        <w:trPr>
          <w:trHeight w:val="300"/>
        </w:trPr>
        <w:tc>
          <w:tcPr>
            <w:tcW w:w="853" w:type="dxa"/>
            <w:shd w:val="clear" w:color="auto" w:fill="auto"/>
            <w:noWrap/>
            <w:tcMar>
              <w:top w:w="10" w:type="dxa"/>
              <w:left w:w="10" w:type="dxa"/>
              <w:bottom w:w="0" w:type="dxa"/>
              <w:right w:w="10" w:type="dxa"/>
            </w:tcMar>
            <w:vAlign w:val="bottom"/>
            <w:hideMark/>
          </w:tcPr>
          <w:p w:rsidR="00110B91" w:rsidRPr="000B4B45" w:rsidRDefault="00110B91" w:rsidP="00110B91">
            <w:pPr>
              <w:pStyle w:val="Gridtext"/>
            </w:pPr>
            <w:r w:rsidRPr="000B4B45">
              <w:t>Q1</w:t>
            </w:r>
            <w:r>
              <w:t>-7</w:t>
            </w:r>
            <w:r w:rsidR="00BC3865">
              <w:br/>
            </w:r>
            <w:r w:rsidR="00BC3865">
              <w:br/>
            </w:r>
          </w:p>
        </w:tc>
        <w:tc>
          <w:tcPr>
            <w:tcW w:w="2222" w:type="dxa"/>
            <w:shd w:val="clear" w:color="auto" w:fill="auto"/>
            <w:tcMar>
              <w:top w:w="10" w:type="dxa"/>
              <w:left w:w="10" w:type="dxa"/>
              <w:bottom w:w="0" w:type="dxa"/>
              <w:right w:w="10" w:type="dxa"/>
            </w:tcMar>
            <w:vAlign w:val="bottom"/>
            <w:hideMark/>
          </w:tcPr>
          <w:p w:rsidR="00110B91" w:rsidRDefault="00BC3865" w:rsidP="00B91A3B">
            <w:pPr>
              <w:pStyle w:val="Gridtext"/>
              <w:rPr>
                <w:color w:val="000000"/>
              </w:rPr>
            </w:pPr>
            <w:r>
              <w:rPr>
                <w:color w:val="000000"/>
              </w:rPr>
              <w:t>Generally Accepted Accounting Procedures</w:t>
            </w:r>
          </w:p>
        </w:tc>
        <w:tc>
          <w:tcPr>
            <w:tcW w:w="2963" w:type="dxa"/>
            <w:shd w:val="clear" w:color="auto" w:fill="auto"/>
            <w:tcMar>
              <w:top w:w="10" w:type="dxa"/>
              <w:left w:w="10" w:type="dxa"/>
              <w:bottom w:w="0" w:type="dxa"/>
              <w:right w:w="10" w:type="dxa"/>
            </w:tcMar>
            <w:vAlign w:val="bottom"/>
            <w:hideMark/>
          </w:tcPr>
          <w:p w:rsidR="00110B91" w:rsidRDefault="00BC3865" w:rsidP="00AE6A64">
            <w:pPr>
              <w:pStyle w:val="Gridtext"/>
              <w:rPr>
                <w:color w:val="000000"/>
              </w:rPr>
            </w:pPr>
            <w:r>
              <w:rPr>
                <w:color w:val="000000"/>
              </w:rPr>
              <w:t>Definition of U.S. GAAP</w:t>
            </w:r>
            <w:r>
              <w:rPr>
                <w:color w:val="000000"/>
              </w:rPr>
              <w:br/>
            </w:r>
            <w:r>
              <w:rPr>
                <w:color w:val="000000"/>
              </w:rPr>
              <w:br/>
            </w:r>
          </w:p>
        </w:tc>
        <w:tc>
          <w:tcPr>
            <w:tcW w:w="297" w:type="dxa"/>
            <w:shd w:val="clear" w:color="auto" w:fill="auto"/>
            <w:tcMar>
              <w:top w:w="10" w:type="dxa"/>
              <w:left w:w="10" w:type="dxa"/>
              <w:bottom w:w="0" w:type="dxa"/>
              <w:right w:w="10" w:type="dxa"/>
            </w:tcMar>
            <w:vAlign w:val="bottom"/>
            <w:hideMark/>
          </w:tcPr>
          <w:p w:rsidR="00110B91" w:rsidRDefault="00BC3865" w:rsidP="00A415D1">
            <w:pPr>
              <w:pStyle w:val="Gridtext"/>
              <w:jc w:val="center"/>
              <w:rPr>
                <w:color w:val="000000"/>
              </w:rPr>
            </w:pPr>
            <w:r>
              <w:rPr>
                <w:color w:val="000000"/>
              </w:rPr>
              <w:t>1</w:t>
            </w:r>
            <w:r>
              <w:rPr>
                <w:color w:val="000000"/>
              </w:rPr>
              <w:br/>
            </w:r>
            <w:r>
              <w:rPr>
                <w:color w:val="000000"/>
              </w:rPr>
              <w:br/>
            </w:r>
          </w:p>
        </w:tc>
        <w:tc>
          <w:tcPr>
            <w:tcW w:w="741"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p>
        </w:tc>
        <w:tc>
          <w:tcPr>
            <w:tcW w:w="1296"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Easy</w:t>
            </w:r>
            <w:r>
              <w:rPr>
                <w:color w:val="000000"/>
              </w:rPr>
              <w:br/>
            </w:r>
            <w:r>
              <w:rPr>
                <w:color w:val="000000"/>
              </w:rPr>
              <w:br/>
            </w:r>
          </w:p>
        </w:tc>
        <w:tc>
          <w:tcPr>
            <w:tcW w:w="445" w:type="dxa"/>
            <w:shd w:val="clear" w:color="auto" w:fill="auto"/>
            <w:noWrap/>
            <w:tcMar>
              <w:top w:w="10" w:type="dxa"/>
              <w:left w:w="10" w:type="dxa"/>
              <w:bottom w:w="0" w:type="dxa"/>
              <w:right w:w="10" w:type="dxa"/>
            </w:tcMar>
            <w:vAlign w:val="bottom"/>
            <w:hideMark/>
          </w:tcPr>
          <w:p w:rsidR="00110B91" w:rsidRPr="000B4B45" w:rsidRDefault="00BC3865" w:rsidP="00A415D1">
            <w:pPr>
              <w:pStyle w:val="Gridtext"/>
              <w:jc w:val="center"/>
            </w:pPr>
            <w:r>
              <w:rPr>
                <w:color w:val="000000"/>
              </w:rPr>
              <w:t>5</w:t>
            </w:r>
            <w:r>
              <w:rPr>
                <w:color w:val="000000"/>
              </w:rPr>
              <w:br/>
            </w:r>
            <w:r>
              <w:rPr>
                <w:color w:val="000000"/>
              </w:rPr>
              <w:br/>
            </w:r>
          </w:p>
        </w:tc>
        <w:tc>
          <w:tcPr>
            <w:tcW w:w="1333"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Analytic</w:t>
            </w:r>
            <w:r>
              <w:rPr>
                <w:color w:val="000000"/>
              </w:rPr>
              <w:br/>
            </w:r>
            <w:r>
              <w:rPr>
                <w:color w:val="000000"/>
              </w:rPr>
              <w:br/>
            </w:r>
          </w:p>
        </w:tc>
        <w:tc>
          <w:tcPr>
            <w:tcW w:w="1482"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Measurement</w:t>
            </w:r>
            <w:r>
              <w:rPr>
                <w:color w:val="000000"/>
              </w:rPr>
              <w:br/>
            </w:r>
            <w:r>
              <w:rPr>
                <w:color w:val="000000"/>
              </w:rPr>
              <w:br/>
            </w:r>
          </w:p>
        </w:tc>
        <w:tc>
          <w:tcPr>
            <w:tcW w:w="1630" w:type="dxa"/>
            <w:shd w:val="clear" w:color="auto" w:fill="auto"/>
            <w:noWrap/>
            <w:tcMar>
              <w:top w:w="10" w:type="dxa"/>
              <w:left w:w="10" w:type="dxa"/>
              <w:bottom w:w="0" w:type="dxa"/>
              <w:right w:w="10" w:type="dxa"/>
            </w:tcMar>
            <w:vAlign w:val="bottom"/>
            <w:hideMark/>
          </w:tcPr>
          <w:p w:rsidR="00110B91" w:rsidRDefault="00BC3865" w:rsidP="00B91A3B">
            <w:pPr>
              <w:pStyle w:val="Gridtext"/>
              <w:rPr>
                <w:color w:val="000000"/>
              </w:rPr>
            </w:pPr>
            <w:r>
              <w:rPr>
                <w:color w:val="000000"/>
              </w:rPr>
              <w:t>Comprehension</w:t>
            </w:r>
            <w:r>
              <w:rPr>
                <w:color w:val="000000"/>
              </w:rPr>
              <w:br/>
            </w:r>
            <w:r>
              <w:rPr>
                <w:color w:val="000000"/>
              </w:rPr>
              <w:br/>
            </w:r>
          </w:p>
        </w:tc>
      </w:tr>
      <w:tr w:rsidR="00110B91" w:rsidRPr="000B4B45" w:rsidTr="002D2750">
        <w:trPr>
          <w:trHeight w:val="300"/>
        </w:trPr>
        <w:tc>
          <w:tcPr>
            <w:tcW w:w="853"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r w:rsidRPr="000B4B45">
              <w:t>Q1</w:t>
            </w:r>
            <w:r>
              <w:t>-8</w:t>
            </w:r>
            <w:r w:rsidR="00BC3865">
              <w:br/>
            </w:r>
          </w:p>
        </w:tc>
        <w:tc>
          <w:tcPr>
            <w:tcW w:w="2222" w:type="dxa"/>
            <w:shd w:val="clear" w:color="auto" w:fill="auto"/>
            <w:tcMar>
              <w:top w:w="10" w:type="dxa"/>
              <w:left w:w="10" w:type="dxa"/>
              <w:bottom w:w="0" w:type="dxa"/>
              <w:right w:w="10" w:type="dxa"/>
            </w:tcMar>
            <w:vAlign w:val="bottom"/>
            <w:hideMark/>
          </w:tcPr>
          <w:p w:rsidR="00110B91" w:rsidRDefault="00BC3865" w:rsidP="007435AB">
            <w:pPr>
              <w:pStyle w:val="Gridtext"/>
              <w:rPr>
                <w:color w:val="000000"/>
              </w:rPr>
            </w:pPr>
            <w:r>
              <w:rPr>
                <w:color w:val="000000"/>
              </w:rPr>
              <w:t>Standard Setting</w:t>
            </w:r>
            <w:r>
              <w:rPr>
                <w:color w:val="000000"/>
              </w:rPr>
              <w:br/>
            </w:r>
          </w:p>
        </w:tc>
        <w:tc>
          <w:tcPr>
            <w:tcW w:w="2963" w:type="dxa"/>
            <w:shd w:val="clear" w:color="auto" w:fill="auto"/>
            <w:tcMar>
              <w:top w:w="10" w:type="dxa"/>
              <w:left w:w="10" w:type="dxa"/>
              <w:bottom w:w="0" w:type="dxa"/>
              <w:right w:w="10" w:type="dxa"/>
            </w:tcMar>
            <w:vAlign w:val="bottom"/>
            <w:hideMark/>
          </w:tcPr>
          <w:p w:rsidR="00110B91" w:rsidRDefault="00BC3865" w:rsidP="00BC3865">
            <w:pPr>
              <w:pStyle w:val="Gridtext"/>
              <w:rPr>
                <w:color w:val="000000"/>
              </w:rPr>
            </w:pPr>
            <w:r>
              <w:rPr>
                <w:color w:val="000000"/>
              </w:rPr>
              <w:t>Supply of accounting information</w:t>
            </w:r>
          </w:p>
        </w:tc>
        <w:tc>
          <w:tcPr>
            <w:tcW w:w="297" w:type="dxa"/>
            <w:shd w:val="clear" w:color="auto" w:fill="auto"/>
            <w:tcMar>
              <w:top w:w="10" w:type="dxa"/>
              <w:left w:w="10" w:type="dxa"/>
              <w:bottom w:w="0" w:type="dxa"/>
              <w:right w:w="10" w:type="dxa"/>
            </w:tcMar>
            <w:vAlign w:val="bottom"/>
            <w:hideMark/>
          </w:tcPr>
          <w:p w:rsidR="00110B91" w:rsidRDefault="00BC3865" w:rsidP="00A415D1">
            <w:pPr>
              <w:pStyle w:val="Gridtext"/>
              <w:jc w:val="center"/>
              <w:rPr>
                <w:color w:val="000000"/>
              </w:rPr>
            </w:pPr>
            <w:r>
              <w:rPr>
                <w:color w:val="000000"/>
              </w:rPr>
              <w:t>2</w:t>
            </w:r>
            <w:r>
              <w:rPr>
                <w:color w:val="000000"/>
              </w:rPr>
              <w:br/>
            </w:r>
          </w:p>
        </w:tc>
        <w:tc>
          <w:tcPr>
            <w:tcW w:w="741"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p>
        </w:tc>
        <w:tc>
          <w:tcPr>
            <w:tcW w:w="1296"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Easy</w:t>
            </w:r>
            <w:r>
              <w:rPr>
                <w:color w:val="000000"/>
              </w:rPr>
              <w:br/>
            </w:r>
          </w:p>
        </w:tc>
        <w:tc>
          <w:tcPr>
            <w:tcW w:w="445" w:type="dxa"/>
            <w:shd w:val="clear" w:color="auto" w:fill="auto"/>
            <w:noWrap/>
            <w:tcMar>
              <w:top w:w="10" w:type="dxa"/>
              <w:left w:w="10" w:type="dxa"/>
              <w:bottom w:w="0" w:type="dxa"/>
              <w:right w:w="10" w:type="dxa"/>
            </w:tcMar>
            <w:vAlign w:val="bottom"/>
            <w:hideMark/>
          </w:tcPr>
          <w:p w:rsidR="00110B91" w:rsidRPr="000B4B45" w:rsidRDefault="00BC3865" w:rsidP="00A415D1">
            <w:pPr>
              <w:pStyle w:val="Gridtext"/>
              <w:jc w:val="center"/>
            </w:pPr>
            <w:r>
              <w:rPr>
                <w:color w:val="000000"/>
              </w:rPr>
              <w:t>5</w:t>
            </w:r>
            <w:r>
              <w:rPr>
                <w:color w:val="000000"/>
              </w:rPr>
              <w:br/>
            </w:r>
          </w:p>
        </w:tc>
        <w:tc>
          <w:tcPr>
            <w:tcW w:w="1333"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Analytic</w:t>
            </w:r>
            <w:r>
              <w:rPr>
                <w:color w:val="000000"/>
              </w:rPr>
              <w:br/>
            </w:r>
          </w:p>
        </w:tc>
        <w:tc>
          <w:tcPr>
            <w:tcW w:w="1482" w:type="dxa"/>
            <w:shd w:val="clear" w:color="auto" w:fill="auto"/>
            <w:noWrap/>
            <w:tcMar>
              <w:top w:w="10" w:type="dxa"/>
              <w:left w:w="10" w:type="dxa"/>
              <w:bottom w:w="0" w:type="dxa"/>
              <w:right w:w="10" w:type="dxa"/>
            </w:tcMar>
            <w:vAlign w:val="bottom"/>
            <w:hideMark/>
          </w:tcPr>
          <w:p w:rsidR="00110B91" w:rsidRPr="000B4B45" w:rsidRDefault="00BC3865" w:rsidP="00B91A3B">
            <w:pPr>
              <w:pStyle w:val="Gridtext"/>
            </w:pPr>
            <w:r>
              <w:rPr>
                <w:color w:val="000000"/>
              </w:rPr>
              <w:t>Measurement</w:t>
            </w:r>
            <w:r>
              <w:rPr>
                <w:color w:val="000000"/>
              </w:rPr>
              <w:br/>
            </w:r>
          </w:p>
        </w:tc>
        <w:tc>
          <w:tcPr>
            <w:tcW w:w="1630" w:type="dxa"/>
            <w:shd w:val="clear" w:color="auto" w:fill="auto"/>
            <w:noWrap/>
            <w:tcMar>
              <w:top w:w="10" w:type="dxa"/>
              <w:left w:w="10" w:type="dxa"/>
              <w:bottom w:w="0" w:type="dxa"/>
              <w:right w:w="10" w:type="dxa"/>
            </w:tcMar>
            <w:vAlign w:val="bottom"/>
            <w:hideMark/>
          </w:tcPr>
          <w:p w:rsidR="00110B91" w:rsidRDefault="00BC3865" w:rsidP="00B91A3B">
            <w:pPr>
              <w:pStyle w:val="Gridtext"/>
              <w:rPr>
                <w:color w:val="000000"/>
              </w:rPr>
            </w:pPr>
            <w:r>
              <w:rPr>
                <w:color w:val="000000"/>
              </w:rPr>
              <w:t>Comprehension</w:t>
            </w:r>
            <w:r>
              <w:rPr>
                <w:color w:val="000000"/>
              </w:rPr>
              <w:br/>
            </w:r>
          </w:p>
        </w:tc>
      </w:tr>
      <w:tr w:rsidR="00110B91" w:rsidRPr="000B4B45" w:rsidTr="002D2750">
        <w:trPr>
          <w:trHeight w:val="300"/>
        </w:trPr>
        <w:tc>
          <w:tcPr>
            <w:tcW w:w="853"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r w:rsidRPr="000B4B45">
              <w:t>Q1</w:t>
            </w:r>
            <w:r>
              <w:t>-9</w:t>
            </w:r>
          </w:p>
        </w:tc>
        <w:tc>
          <w:tcPr>
            <w:tcW w:w="2222" w:type="dxa"/>
            <w:shd w:val="clear" w:color="auto" w:fill="auto"/>
            <w:tcMar>
              <w:top w:w="10" w:type="dxa"/>
              <w:left w:w="10" w:type="dxa"/>
              <w:bottom w:w="0" w:type="dxa"/>
              <w:right w:w="10" w:type="dxa"/>
            </w:tcMar>
            <w:vAlign w:val="bottom"/>
            <w:hideMark/>
          </w:tcPr>
          <w:p w:rsidR="00110B91" w:rsidRDefault="00615B3D" w:rsidP="007435AB">
            <w:pPr>
              <w:pStyle w:val="Gridtext"/>
              <w:rPr>
                <w:color w:val="000000"/>
              </w:rPr>
            </w:pPr>
            <w:r>
              <w:rPr>
                <w:color w:val="000000"/>
              </w:rPr>
              <w:t>Standard Setting</w:t>
            </w:r>
          </w:p>
        </w:tc>
        <w:tc>
          <w:tcPr>
            <w:tcW w:w="2963" w:type="dxa"/>
            <w:shd w:val="clear" w:color="auto" w:fill="auto"/>
            <w:tcMar>
              <w:top w:w="10" w:type="dxa"/>
              <w:left w:w="10" w:type="dxa"/>
              <w:bottom w:w="0" w:type="dxa"/>
              <w:right w:w="10" w:type="dxa"/>
            </w:tcMar>
            <w:vAlign w:val="bottom"/>
            <w:hideMark/>
          </w:tcPr>
          <w:p w:rsidR="00110B91" w:rsidRDefault="00615B3D" w:rsidP="00AE6A64">
            <w:pPr>
              <w:pStyle w:val="Gridtext"/>
              <w:rPr>
                <w:color w:val="000000"/>
              </w:rPr>
            </w:pPr>
            <w:r>
              <w:rPr>
                <w:color w:val="000000"/>
              </w:rPr>
              <w:t>Role of SEC</w:t>
            </w:r>
          </w:p>
        </w:tc>
        <w:tc>
          <w:tcPr>
            <w:tcW w:w="297" w:type="dxa"/>
            <w:shd w:val="clear" w:color="auto" w:fill="auto"/>
            <w:tcMar>
              <w:top w:w="10" w:type="dxa"/>
              <w:left w:w="10" w:type="dxa"/>
              <w:bottom w:w="0" w:type="dxa"/>
              <w:right w:w="10" w:type="dxa"/>
            </w:tcMar>
            <w:vAlign w:val="bottom"/>
            <w:hideMark/>
          </w:tcPr>
          <w:p w:rsidR="00110B91" w:rsidRDefault="00615B3D" w:rsidP="00A415D1">
            <w:pPr>
              <w:pStyle w:val="Gridtext"/>
              <w:jc w:val="center"/>
              <w:rPr>
                <w:color w:val="000000"/>
              </w:rPr>
            </w:pPr>
            <w:r>
              <w:rPr>
                <w:color w:val="000000"/>
              </w:rPr>
              <w:t>2</w:t>
            </w:r>
          </w:p>
        </w:tc>
        <w:tc>
          <w:tcPr>
            <w:tcW w:w="741"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p>
        </w:tc>
        <w:tc>
          <w:tcPr>
            <w:tcW w:w="1296" w:type="dxa"/>
            <w:shd w:val="clear" w:color="auto" w:fill="auto"/>
            <w:noWrap/>
            <w:tcMar>
              <w:top w:w="10" w:type="dxa"/>
              <w:left w:w="10" w:type="dxa"/>
              <w:bottom w:w="0" w:type="dxa"/>
              <w:right w:w="10" w:type="dxa"/>
            </w:tcMar>
            <w:vAlign w:val="bottom"/>
            <w:hideMark/>
          </w:tcPr>
          <w:p w:rsidR="00110B91" w:rsidRPr="000B4B45" w:rsidRDefault="00615B3D" w:rsidP="00B91A3B">
            <w:pPr>
              <w:pStyle w:val="Gridtext"/>
            </w:pPr>
            <w:r>
              <w:rPr>
                <w:color w:val="000000"/>
              </w:rPr>
              <w:t>Easy</w:t>
            </w:r>
          </w:p>
        </w:tc>
        <w:tc>
          <w:tcPr>
            <w:tcW w:w="445" w:type="dxa"/>
            <w:shd w:val="clear" w:color="auto" w:fill="auto"/>
            <w:noWrap/>
            <w:tcMar>
              <w:top w:w="10" w:type="dxa"/>
              <w:left w:w="10" w:type="dxa"/>
              <w:bottom w:w="0" w:type="dxa"/>
              <w:right w:w="10" w:type="dxa"/>
            </w:tcMar>
            <w:vAlign w:val="bottom"/>
            <w:hideMark/>
          </w:tcPr>
          <w:p w:rsidR="00110B91" w:rsidRPr="000B4B45" w:rsidRDefault="00615B3D" w:rsidP="00A415D1">
            <w:pPr>
              <w:pStyle w:val="Gridtext"/>
              <w:jc w:val="center"/>
            </w:pPr>
            <w:r>
              <w:rPr>
                <w:color w:val="000000"/>
              </w:rPr>
              <w:t>5</w:t>
            </w:r>
          </w:p>
        </w:tc>
        <w:tc>
          <w:tcPr>
            <w:tcW w:w="1333" w:type="dxa"/>
            <w:shd w:val="clear" w:color="auto" w:fill="auto"/>
            <w:noWrap/>
            <w:tcMar>
              <w:top w:w="10" w:type="dxa"/>
              <w:left w:w="10" w:type="dxa"/>
              <w:bottom w:w="0" w:type="dxa"/>
              <w:right w:w="10" w:type="dxa"/>
            </w:tcMar>
            <w:vAlign w:val="bottom"/>
            <w:hideMark/>
          </w:tcPr>
          <w:p w:rsidR="00110B91" w:rsidRPr="000B4B45" w:rsidRDefault="00615B3D" w:rsidP="00B91A3B">
            <w:pPr>
              <w:pStyle w:val="Gridtext"/>
            </w:pPr>
            <w:r>
              <w:rPr>
                <w:color w:val="000000"/>
              </w:rPr>
              <w:t>Analytic</w:t>
            </w:r>
          </w:p>
        </w:tc>
        <w:tc>
          <w:tcPr>
            <w:tcW w:w="1482" w:type="dxa"/>
            <w:shd w:val="clear" w:color="auto" w:fill="auto"/>
            <w:noWrap/>
            <w:tcMar>
              <w:top w:w="10" w:type="dxa"/>
              <w:left w:w="10" w:type="dxa"/>
              <w:bottom w:w="0" w:type="dxa"/>
              <w:right w:w="10" w:type="dxa"/>
            </w:tcMar>
            <w:vAlign w:val="bottom"/>
            <w:hideMark/>
          </w:tcPr>
          <w:p w:rsidR="00110B91" w:rsidRPr="000B4B45" w:rsidRDefault="00615B3D" w:rsidP="00B91A3B">
            <w:pPr>
              <w:pStyle w:val="Gridtext"/>
            </w:pPr>
            <w:r>
              <w:rPr>
                <w:color w:val="000000"/>
              </w:rPr>
              <w:t>Measurement</w:t>
            </w:r>
          </w:p>
        </w:tc>
        <w:tc>
          <w:tcPr>
            <w:tcW w:w="1630" w:type="dxa"/>
            <w:shd w:val="clear" w:color="auto" w:fill="auto"/>
            <w:noWrap/>
            <w:tcMar>
              <w:top w:w="10" w:type="dxa"/>
              <w:left w:w="10" w:type="dxa"/>
              <w:bottom w:w="0" w:type="dxa"/>
              <w:right w:w="10" w:type="dxa"/>
            </w:tcMar>
            <w:vAlign w:val="bottom"/>
            <w:hideMark/>
          </w:tcPr>
          <w:p w:rsidR="00110B91" w:rsidRDefault="00615B3D" w:rsidP="00B91A3B">
            <w:pPr>
              <w:pStyle w:val="Gridtext"/>
              <w:rPr>
                <w:color w:val="000000"/>
              </w:rPr>
            </w:pPr>
            <w:r>
              <w:rPr>
                <w:color w:val="000000"/>
              </w:rPr>
              <w:t>Comprehension</w:t>
            </w:r>
          </w:p>
        </w:tc>
      </w:tr>
      <w:tr w:rsidR="00110B91" w:rsidRPr="000B4B45" w:rsidTr="002D2750">
        <w:trPr>
          <w:trHeight w:val="300"/>
        </w:trPr>
        <w:tc>
          <w:tcPr>
            <w:tcW w:w="853"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r w:rsidRPr="000B4B45">
              <w:t>Q1</w:t>
            </w:r>
            <w:r>
              <w:t>-10</w:t>
            </w:r>
          </w:p>
        </w:tc>
        <w:tc>
          <w:tcPr>
            <w:tcW w:w="2222" w:type="dxa"/>
            <w:shd w:val="clear" w:color="auto" w:fill="auto"/>
            <w:tcMar>
              <w:top w:w="10" w:type="dxa"/>
              <w:left w:w="10" w:type="dxa"/>
              <w:bottom w:w="0" w:type="dxa"/>
              <w:right w:w="10" w:type="dxa"/>
            </w:tcMar>
            <w:vAlign w:val="bottom"/>
            <w:hideMark/>
          </w:tcPr>
          <w:p w:rsidR="00110B91" w:rsidRDefault="00615B3D" w:rsidP="007435AB">
            <w:pPr>
              <w:pStyle w:val="Gridtext"/>
              <w:rPr>
                <w:color w:val="000000"/>
              </w:rPr>
            </w:pPr>
            <w:r>
              <w:rPr>
                <w:color w:val="000000"/>
              </w:rPr>
              <w:t>Standard Setting</w:t>
            </w:r>
          </w:p>
        </w:tc>
        <w:tc>
          <w:tcPr>
            <w:tcW w:w="2963" w:type="dxa"/>
            <w:shd w:val="clear" w:color="auto" w:fill="auto"/>
            <w:tcMar>
              <w:top w:w="10" w:type="dxa"/>
              <w:left w:w="10" w:type="dxa"/>
              <w:bottom w:w="0" w:type="dxa"/>
              <w:right w:w="10" w:type="dxa"/>
            </w:tcMar>
            <w:vAlign w:val="bottom"/>
            <w:hideMark/>
          </w:tcPr>
          <w:p w:rsidR="00110B91" w:rsidRDefault="00615B3D" w:rsidP="00AE6A64">
            <w:pPr>
              <w:pStyle w:val="Gridtext"/>
              <w:rPr>
                <w:color w:val="000000"/>
              </w:rPr>
            </w:pPr>
            <w:r>
              <w:rPr>
                <w:color w:val="000000"/>
              </w:rPr>
              <w:t>Role of FASB</w:t>
            </w:r>
          </w:p>
        </w:tc>
        <w:tc>
          <w:tcPr>
            <w:tcW w:w="297" w:type="dxa"/>
            <w:shd w:val="clear" w:color="auto" w:fill="auto"/>
            <w:tcMar>
              <w:top w:w="10" w:type="dxa"/>
              <w:left w:w="10" w:type="dxa"/>
              <w:bottom w:w="0" w:type="dxa"/>
              <w:right w:w="10" w:type="dxa"/>
            </w:tcMar>
            <w:vAlign w:val="bottom"/>
            <w:hideMark/>
          </w:tcPr>
          <w:p w:rsidR="00110B91" w:rsidRDefault="00615B3D" w:rsidP="00A415D1">
            <w:pPr>
              <w:pStyle w:val="Gridtext"/>
              <w:jc w:val="center"/>
              <w:rPr>
                <w:color w:val="000000"/>
              </w:rPr>
            </w:pPr>
            <w:r>
              <w:rPr>
                <w:color w:val="000000"/>
              </w:rPr>
              <w:t>3</w:t>
            </w:r>
          </w:p>
        </w:tc>
        <w:tc>
          <w:tcPr>
            <w:tcW w:w="741" w:type="dxa"/>
            <w:shd w:val="clear" w:color="auto" w:fill="auto"/>
            <w:noWrap/>
            <w:tcMar>
              <w:top w:w="10" w:type="dxa"/>
              <w:left w:w="10" w:type="dxa"/>
              <w:bottom w:w="0" w:type="dxa"/>
              <w:right w:w="10" w:type="dxa"/>
            </w:tcMar>
            <w:vAlign w:val="bottom"/>
            <w:hideMark/>
          </w:tcPr>
          <w:p w:rsidR="00110B91" w:rsidRPr="000B4B45" w:rsidRDefault="00110B91" w:rsidP="00B91A3B">
            <w:pPr>
              <w:pStyle w:val="Gridtext"/>
            </w:pPr>
          </w:p>
        </w:tc>
        <w:tc>
          <w:tcPr>
            <w:tcW w:w="1296" w:type="dxa"/>
            <w:shd w:val="clear" w:color="auto" w:fill="auto"/>
            <w:noWrap/>
            <w:tcMar>
              <w:top w:w="10" w:type="dxa"/>
              <w:left w:w="10" w:type="dxa"/>
              <w:bottom w:w="0" w:type="dxa"/>
              <w:right w:w="10" w:type="dxa"/>
            </w:tcMar>
            <w:vAlign w:val="bottom"/>
            <w:hideMark/>
          </w:tcPr>
          <w:p w:rsidR="00110B91" w:rsidRPr="000B4B45" w:rsidRDefault="00615B3D" w:rsidP="00B91A3B">
            <w:pPr>
              <w:pStyle w:val="Gridtext"/>
            </w:pPr>
            <w:r>
              <w:rPr>
                <w:color w:val="000000"/>
              </w:rPr>
              <w:t>Easy</w:t>
            </w:r>
          </w:p>
        </w:tc>
        <w:tc>
          <w:tcPr>
            <w:tcW w:w="445" w:type="dxa"/>
            <w:shd w:val="clear" w:color="auto" w:fill="auto"/>
            <w:noWrap/>
            <w:tcMar>
              <w:top w:w="10" w:type="dxa"/>
              <w:left w:w="10" w:type="dxa"/>
              <w:bottom w:w="0" w:type="dxa"/>
              <w:right w:w="10" w:type="dxa"/>
            </w:tcMar>
            <w:vAlign w:val="bottom"/>
            <w:hideMark/>
          </w:tcPr>
          <w:p w:rsidR="00110B91" w:rsidRPr="000B4B45" w:rsidRDefault="00615B3D" w:rsidP="00A415D1">
            <w:pPr>
              <w:pStyle w:val="Gridtext"/>
              <w:jc w:val="center"/>
            </w:pPr>
            <w:r>
              <w:rPr>
                <w:color w:val="000000"/>
              </w:rPr>
              <w:t>5</w:t>
            </w:r>
          </w:p>
        </w:tc>
        <w:tc>
          <w:tcPr>
            <w:tcW w:w="1333" w:type="dxa"/>
            <w:shd w:val="clear" w:color="auto" w:fill="auto"/>
            <w:noWrap/>
            <w:tcMar>
              <w:top w:w="10" w:type="dxa"/>
              <w:left w:w="10" w:type="dxa"/>
              <w:bottom w:w="0" w:type="dxa"/>
              <w:right w:w="10" w:type="dxa"/>
            </w:tcMar>
            <w:vAlign w:val="bottom"/>
            <w:hideMark/>
          </w:tcPr>
          <w:p w:rsidR="00110B91" w:rsidRPr="000B4B45" w:rsidRDefault="00615B3D" w:rsidP="00B91A3B">
            <w:pPr>
              <w:pStyle w:val="Gridtext"/>
            </w:pPr>
            <w:r>
              <w:rPr>
                <w:color w:val="000000"/>
              </w:rPr>
              <w:t>Analytic</w:t>
            </w:r>
          </w:p>
        </w:tc>
        <w:tc>
          <w:tcPr>
            <w:tcW w:w="1482" w:type="dxa"/>
            <w:shd w:val="clear" w:color="auto" w:fill="auto"/>
            <w:noWrap/>
            <w:tcMar>
              <w:top w:w="10" w:type="dxa"/>
              <w:left w:w="10" w:type="dxa"/>
              <w:bottom w:w="0" w:type="dxa"/>
              <w:right w:w="10" w:type="dxa"/>
            </w:tcMar>
            <w:vAlign w:val="bottom"/>
            <w:hideMark/>
          </w:tcPr>
          <w:p w:rsidR="00110B91" w:rsidRPr="000B4B45" w:rsidRDefault="00615B3D" w:rsidP="00B91A3B">
            <w:pPr>
              <w:pStyle w:val="Gridtext"/>
            </w:pPr>
            <w:r>
              <w:rPr>
                <w:color w:val="000000"/>
              </w:rPr>
              <w:t>Measurement</w:t>
            </w:r>
          </w:p>
        </w:tc>
        <w:tc>
          <w:tcPr>
            <w:tcW w:w="1630" w:type="dxa"/>
            <w:shd w:val="clear" w:color="auto" w:fill="auto"/>
            <w:noWrap/>
            <w:tcMar>
              <w:top w:w="10" w:type="dxa"/>
              <w:left w:w="10" w:type="dxa"/>
              <w:bottom w:w="0" w:type="dxa"/>
              <w:right w:w="10" w:type="dxa"/>
            </w:tcMar>
            <w:vAlign w:val="bottom"/>
            <w:hideMark/>
          </w:tcPr>
          <w:p w:rsidR="00110B91" w:rsidRDefault="00615B3D" w:rsidP="00B91A3B">
            <w:pPr>
              <w:pStyle w:val="Gridtext"/>
              <w:rPr>
                <w:color w:val="000000"/>
              </w:rPr>
            </w:pPr>
            <w:r>
              <w:rPr>
                <w:color w:val="000000"/>
              </w:rPr>
              <w:t>Comprehension</w:t>
            </w:r>
          </w:p>
        </w:tc>
      </w:tr>
      <w:tr w:rsidR="00615B3D" w:rsidRPr="000B4B45" w:rsidTr="002D2750">
        <w:trPr>
          <w:trHeight w:val="300"/>
        </w:trPr>
        <w:tc>
          <w:tcPr>
            <w:tcW w:w="853" w:type="dxa"/>
            <w:shd w:val="clear" w:color="auto" w:fill="auto"/>
            <w:noWrap/>
            <w:tcMar>
              <w:top w:w="10" w:type="dxa"/>
              <w:left w:w="10" w:type="dxa"/>
              <w:bottom w:w="0" w:type="dxa"/>
              <w:right w:w="10" w:type="dxa"/>
            </w:tcMar>
            <w:vAlign w:val="bottom"/>
            <w:hideMark/>
          </w:tcPr>
          <w:p w:rsidR="00615B3D" w:rsidRPr="000B4B45" w:rsidRDefault="00615B3D" w:rsidP="00615B3D">
            <w:pPr>
              <w:pStyle w:val="Gridtext"/>
            </w:pPr>
            <w:r w:rsidRPr="000B4B45">
              <w:t>Q1</w:t>
            </w:r>
            <w:r>
              <w:t>-11</w:t>
            </w:r>
            <w:r w:rsidR="009F5941">
              <w:br/>
            </w:r>
          </w:p>
        </w:tc>
        <w:tc>
          <w:tcPr>
            <w:tcW w:w="2222" w:type="dxa"/>
            <w:shd w:val="clear" w:color="auto" w:fill="auto"/>
            <w:tcMar>
              <w:top w:w="10" w:type="dxa"/>
              <w:left w:w="10" w:type="dxa"/>
              <w:bottom w:w="0" w:type="dxa"/>
              <w:right w:w="10" w:type="dxa"/>
            </w:tcMar>
            <w:vAlign w:val="bottom"/>
            <w:hideMark/>
          </w:tcPr>
          <w:p w:rsidR="00615B3D" w:rsidRDefault="00615B3D" w:rsidP="007435AB">
            <w:pPr>
              <w:pStyle w:val="Gridtext"/>
              <w:rPr>
                <w:color w:val="000000"/>
              </w:rPr>
            </w:pPr>
            <w:r>
              <w:rPr>
                <w:color w:val="000000"/>
              </w:rPr>
              <w:t>Standard Setting</w:t>
            </w:r>
            <w:r w:rsidR="009F5941">
              <w:rPr>
                <w:color w:val="000000"/>
              </w:rPr>
              <w:br/>
            </w:r>
          </w:p>
        </w:tc>
        <w:tc>
          <w:tcPr>
            <w:tcW w:w="2963" w:type="dxa"/>
            <w:shd w:val="clear" w:color="auto" w:fill="auto"/>
            <w:tcMar>
              <w:top w:w="10" w:type="dxa"/>
              <w:left w:w="10" w:type="dxa"/>
              <w:bottom w:w="0" w:type="dxa"/>
              <w:right w:w="10" w:type="dxa"/>
            </w:tcMar>
            <w:vAlign w:val="bottom"/>
            <w:hideMark/>
          </w:tcPr>
          <w:p w:rsidR="00615B3D" w:rsidRDefault="00615B3D" w:rsidP="007435AB">
            <w:pPr>
              <w:pStyle w:val="Gridtext"/>
              <w:rPr>
                <w:color w:val="000000"/>
              </w:rPr>
            </w:pPr>
            <w:r>
              <w:rPr>
                <w:color w:val="000000"/>
              </w:rPr>
              <w:t xml:space="preserve">FASB </w:t>
            </w:r>
            <w:r w:rsidR="007435AB">
              <w:rPr>
                <w:color w:val="000000"/>
              </w:rPr>
              <w:t>A</w:t>
            </w:r>
            <w:r>
              <w:rPr>
                <w:color w:val="000000"/>
              </w:rPr>
              <w:t xml:space="preserve">ccounting </w:t>
            </w:r>
            <w:r w:rsidR="007435AB">
              <w:rPr>
                <w:color w:val="000000"/>
              </w:rPr>
              <w:t>S</w:t>
            </w:r>
            <w:r>
              <w:rPr>
                <w:color w:val="000000"/>
              </w:rPr>
              <w:t xml:space="preserve">tandards </w:t>
            </w:r>
            <w:r w:rsidR="007435AB">
              <w:rPr>
                <w:color w:val="000000"/>
              </w:rPr>
              <w:t>C</w:t>
            </w:r>
            <w:r>
              <w:rPr>
                <w:color w:val="000000"/>
              </w:rPr>
              <w:t>odification</w:t>
            </w:r>
          </w:p>
        </w:tc>
        <w:tc>
          <w:tcPr>
            <w:tcW w:w="297" w:type="dxa"/>
            <w:shd w:val="clear" w:color="auto" w:fill="auto"/>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4</w:t>
            </w:r>
            <w:r w:rsidR="009F5941">
              <w:rPr>
                <w:color w:val="000000"/>
              </w:rPr>
              <w:br/>
            </w:r>
          </w:p>
        </w:tc>
        <w:tc>
          <w:tcPr>
            <w:tcW w:w="741"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p>
        </w:tc>
        <w:tc>
          <w:tcPr>
            <w:tcW w:w="1296"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Easy</w:t>
            </w:r>
            <w:r w:rsidR="009F5941">
              <w:rPr>
                <w:color w:val="000000"/>
              </w:rPr>
              <w:br/>
            </w:r>
          </w:p>
        </w:tc>
        <w:tc>
          <w:tcPr>
            <w:tcW w:w="445" w:type="dxa"/>
            <w:shd w:val="clear" w:color="auto" w:fill="auto"/>
            <w:noWrap/>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r w:rsidR="009F5941">
              <w:rPr>
                <w:color w:val="000000"/>
              </w:rPr>
              <w:br/>
            </w:r>
          </w:p>
        </w:tc>
        <w:tc>
          <w:tcPr>
            <w:tcW w:w="1333"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Analytic</w:t>
            </w:r>
            <w:r w:rsidR="009F5941">
              <w:rPr>
                <w:color w:val="000000"/>
              </w:rPr>
              <w:br/>
            </w:r>
          </w:p>
        </w:tc>
        <w:tc>
          <w:tcPr>
            <w:tcW w:w="148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Measurement</w:t>
            </w:r>
            <w:r w:rsidR="009F5941">
              <w:rPr>
                <w:color w:val="000000"/>
              </w:rPr>
              <w:br/>
            </w:r>
          </w:p>
        </w:tc>
        <w:tc>
          <w:tcPr>
            <w:tcW w:w="1630"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Application</w:t>
            </w:r>
            <w:r w:rsidR="009F5941">
              <w:rPr>
                <w:color w:val="000000"/>
              </w:rPr>
              <w:br/>
            </w:r>
          </w:p>
        </w:tc>
      </w:tr>
    </w:tbl>
    <w:p w:rsidR="009F5941" w:rsidRDefault="009F5941">
      <w:r>
        <w:rPr>
          <w:b/>
          <w:smallCaps/>
        </w:rPr>
        <w:br w:type="page"/>
      </w: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825"/>
        <w:gridCol w:w="2146"/>
        <w:gridCol w:w="2862"/>
        <w:gridCol w:w="288"/>
        <w:gridCol w:w="717"/>
        <w:gridCol w:w="1252"/>
        <w:gridCol w:w="431"/>
        <w:gridCol w:w="1288"/>
        <w:gridCol w:w="1432"/>
        <w:gridCol w:w="1575"/>
      </w:tblGrid>
      <w:tr w:rsidR="009F5941" w:rsidRPr="00F06876" w:rsidTr="00892E6D">
        <w:trPr>
          <w:trHeight w:val="300"/>
        </w:trPr>
        <w:tc>
          <w:tcPr>
            <w:tcW w:w="825" w:type="dxa"/>
            <w:shd w:val="clear" w:color="auto" w:fill="auto"/>
            <w:noWrap/>
            <w:tcMar>
              <w:top w:w="10" w:type="dxa"/>
              <w:left w:w="10" w:type="dxa"/>
              <w:bottom w:w="0" w:type="dxa"/>
              <w:right w:w="10" w:type="dxa"/>
            </w:tcMar>
            <w:vAlign w:val="bottom"/>
            <w:hideMark/>
          </w:tcPr>
          <w:p w:rsidR="009F5941" w:rsidRPr="00F06876" w:rsidRDefault="009F5941" w:rsidP="00E4588E">
            <w:pPr>
              <w:pStyle w:val="Gridtextheads"/>
            </w:pPr>
            <w:r w:rsidRPr="00F06876">
              <w:lastRenderedPageBreak/>
              <w:t>Number</w:t>
            </w:r>
          </w:p>
        </w:tc>
        <w:tc>
          <w:tcPr>
            <w:tcW w:w="2146" w:type="dxa"/>
            <w:shd w:val="clear" w:color="auto" w:fill="auto"/>
            <w:tcMar>
              <w:top w:w="10" w:type="dxa"/>
              <w:left w:w="10" w:type="dxa"/>
              <w:bottom w:w="0" w:type="dxa"/>
              <w:right w:w="10" w:type="dxa"/>
            </w:tcMar>
            <w:vAlign w:val="bottom"/>
            <w:hideMark/>
          </w:tcPr>
          <w:p w:rsidR="009F5941" w:rsidRPr="00F06876" w:rsidRDefault="009F5941" w:rsidP="00E4588E">
            <w:pPr>
              <w:pStyle w:val="Gridtextheads"/>
            </w:pPr>
            <w:r w:rsidRPr="00F06876">
              <w:t>Topic</w:t>
            </w:r>
          </w:p>
        </w:tc>
        <w:tc>
          <w:tcPr>
            <w:tcW w:w="2862" w:type="dxa"/>
            <w:shd w:val="clear" w:color="auto" w:fill="auto"/>
            <w:tcMar>
              <w:top w:w="10" w:type="dxa"/>
              <w:left w:w="10" w:type="dxa"/>
              <w:bottom w:w="0" w:type="dxa"/>
              <w:right w:w="10" w:type="dxa"/>
            </w:tcMar>
            <w:vAlign w:val="bottom"/>
            <w:hideMark/>
          </w:tcPr>
          <w:p w:rsidR="009F5941" w:rsidRPr="00F06876" w:rsidRDefault="009F5941" w:rsidP="00E4588E">
            <w:pPr>
              <w:pStyle w:val="Gridtextheads"/>
            </w:pPr>
            <w:r w:rsidRPr="00F06876">
              <w:t>Content</w:t>
            </w:r>
          </w:p>
        </w:tc>
        <w:tc>
          <w:tcPr>
            <w:tcW w:w="288" w:type="dxa"/>
            <w:shd w:val="clear" w:color="auto" w:fill="auto"/>
            <w:tcMar>
              <w:top w:w="10" w:type="dxa"/>
              <w:left w:w="10" w:type="dxa"/>
              <w:bottom w:w="0" w:type="dxa"/>
              <w:right w:w="10" w:type="dxa"/>
            </w:tcMar>
            <w:vAlign w:val="bottom"/>
            <w:hideMark/>
          </w:tcPr>
          <w:p w:rsidR="009F5941" w:rsidRPr="00F06876" w:rsidRDefault="009F5941" w:rsidP="00A415D1">
            <w:pPr>
              <w:pStyle w:val="Gridtextheads"/>
            </w:pPr>
            <w:r w:rsidRPr="00F06876">
              <w:t>LO</w:t>
            </w:r>
          </w:p>
        </w:tc>
        <w:tc>
          <w:tcPr>
            <w:tcW w:w="717" w:type="dxa"/>
            <w:shd w:val="clear" w:color="auto" w:fill="auto"/>
            <w:noWrap/>
            <w:tcMar>
              <w:top w:w="10" w:type="dxa"/>
              <w:left w:w="10" w:type="dxa"/>
              <w:bottom w:w="0" w:type="dxa"/>
              <w:right w:w="10" w:type="dxa"/>
            </w:tcMar>
            <w:vAlign w:val="bottom"/>
            <w:hideMark/>
          </w:tcPr>
          <w:p w:rsidR="009F5941" w:rsidRPr="00F06876" w:rsidRDefault="009F5941" w:rsidP="00E4588E">
            <w:pPr>
              <w:pStyle w:val="Gridtextheads"/>
            </w:pPr>
            <w:r w:rsidRPr="00F06876">
              <w:t>Adapted</w:t>
            </w:r>
          </w:p>
        </w:tc>
        <w:tc>
          <w:tcPr>
            <w:tcW w:w="1252" w:type="dxa"/>
            <w:shd w:val="clear" w:color="auto" w:fill="auto"/>
            <w:noWrap/>
            <w:tcMar>
              <w:top w:w="10" w:type="dxa"/>
              <w:left w:w="10" w:type="dxa"/>
              <w:bottom w:w="0" w:type="dxa"/>
              <w:right w:w="10" w:type="dxa"/>
            </w:tcMar>
            <w:vAlign w:val="bottom"/>
            <w:hideMark/>
          </w:tcPr>
          <w:p w:rsidR="009F5941" w:rsidRPr="00F06876" w:rsidRDefault="009F5941" w:rsidP="00E4588E">
            <w:pPr>
              <w:pStyle w:val="Gridtextheads"/>
            </w:pPr>
            <w:r w:rsidRPr="00F06876">
              <w:t>Difficulty</w:t>
            </w:r>
          </w:p>
        </w:tc>
        <w:tc>
          <w:tcPr>
            <w:tcW w:w="431" w:type="dxa"/>
            <w:shd w:val="clear" w:color="auto" w:fill="auto"/>
            <w:noWrap/>
            <w:tcMar>
              <w:top w:w="10" w:type="dxa"/>
              <w:left w:w="10" w:type="dxa"/>
              <w:bottom w:w="0" w:type="dxa"/>
              <w:right w:w="10" w:type="dxa"/>
            </w:tcMar>
            <w:vAlign w:val="bottom"/>
            <w:hideMark/>
          </w:tcPr>
          <w:p w:rsidR="009F5941" w:rsidRPr="00F06876" w:rsidRDefault="009F5941" w:rsidP="00A415D1">
            <w:pPr>
              <w:pStyle w:val="Gridtextheads"/>
            </w:pPr>
            <w:r w:rsidRPr="00F06876">
              <w:t>Time</w:t>
            </w:r>
            <w:r>
              <w:br/>
            </w:r>
            <w:r w:rsidRPr="00F06876">
              <w:t>Est</w:t>
            </w:r>
            <w:r>
              <w:t>.</w:t>
            </w:r>
          </w:p>
        </w:tc>
        <w:tc>
          <w:tcPr>
            <w:tcW w:w="1288" w:type="dxa"/>
            <w:shd w:val="clear" w:color="auto" w:fill="auto"/>
            <w:noWrap/>
            <w:tcMar>
              <w:top w:w="10" w:type="dxa"/>
              <w:left w:w="10" w:type="dxa"/>
              <w:bottom w:w="0" w:type="dxa"/>
              <w:right w:w="10" w:type="dxa"/>
            </w:tcMar>
            <w:vAlign w:val="bottom"/>
            <w:hideMark/>
          </w:tcPr>
          <w:p w:rsidR="009F5941" w:rsidRPr="00F06876" w:rsidRDefault="009F5941" w:rsidP="00E4588E">
            <w:pPr>
              <w:pStyle w:val="Gridtextheads"/>
            </w:pPr>
            <w:r w:rsidRPr="00F06876">
              <w:t>AACSB</w:t>
            </w:r>
          </w:p>
        </w:tc>
        <w:tc>
          <w:tcPr>
            <w:tcW w:w="1432" w:type="dxa"/>
            <w:shd w:val="clear" w:color="auto" w:fill="auto"/>
            <w:noWrap/>
            <w:tcMar>
              <w:top w:w="10" w:type="dxa"/>
              <w:left w:w="10" w:type="dxa"/>
              <w:bottom w:w="0" w:type="dxa"/>
              <w:right w:w="10" w:type="dxa"/>
            </w:tcMar>
            <w:vAlign w:val="bottom"/>
            <w:hideMark/>
          </w:tcPr>
          <w:p w:rsidR="009F5941" w:rsidRPr="00F06876" w:rsidRDefault="009F5941" w:rsidP="00E4588E">
            <w:pPr>
              <w:pStyle w:val="Gridtextheads"/>
            </w:pPr>
            <w:r w:rsidRPr="00F06876">
              <w:t>AICPA</w:t>
            </w:r>
          </w:p>
        </w:tc>
        <w:tc>
          <w:tcPr>
            <w:tcW w:w="1575" w:type="dxa"/>
            <w:shd w:val="clear" w:color="auto" w:fill="auto"/>
            <w:noWrap/>
            <w:tcMar>
              <w:top w:w="10" w:type="dxa"/>
              <w:left w:w="10" w:type="dxa"/>
              <w:bottom w:w="0" w:type="dxa"/>
              <w:right w:w="10" w:type="dxa"/>
            </w:tcMar>
            <w:vAlign w:val="bottom"/>
            <w:hideMark/>
          </w:tcPr>
          <w:p w:rsidR="009F5941" w:rsidRPr="00F06876" w:rsidRDefault="009F5941" w:rsidP="00E4588E">
            <w:pPr>
              <w:pStyle w:val="Gridtextheads"/>
            </w:pPr>
            <w:r w:rsidRPr="00F06876">
              <w:t>Bloom’s</w:t>
            </w:r>
          </w:p>
        </w:tc>
      </w:tr>
      <w:tr w:rsidR="00615B3D" w:rsidRPr="000B4B45" w:rsidTr="00892E6D">
        <w:trPr>
          <w:trHeight w:val="300"/>
        </w:trPr>
        <w:tc>
          <w:tcPr>
            <w:tcW w:w="825"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r w:rsidRPr="000B4B45">
              <w:t>Q1</w:t>
            </w:r>
            <w:r>
              <w:t>-12</w:t>
            </w:r>
            <w:r w:rsidR="00892E6D">
              <w:br/>
            </w:r>
            <w:r w:rsidR="009F5941">
              <w:br/>
            </w:r>
          </w:p>
        </w:tc>
        <w:tc>
          <w:tcPr>
            <w:tcW w:w="2146" w:type="dxa"/>
            <w:shd w:val="clear" w:color="auto" w:fill="auto"/>
            <w:tcMar>
              <w:top w:w="10" w:type="dxa"/>
              <w:left w:w="10" w:type="dxa"/>
              <w:bottom w:w="0" w:type="dxa"/>
              <w:right w:w="10" w:type="dxa"/>
            </w:tcMar>
            <w:vAlign w:val="bottom"/>
            <w:hideMark/>
          </w:tcPr>
          <w:p w:rsidR="00615B3D" w:rsidRDefault="00615B3D" w:rsidP="007435AB">
            <w:pPr>
              <w:pStyle w:val="Gridtext"/>
              <w:rPr>
                <w:color w:val="000000"/>
              </w:rPr>
            </w:pPr>
            <w:r>
              <w:rPr>
                <w:color w:val="000000"/>
              </w:rPr>
              <w:t>Standard Setting</w:t>
            </w:r>
            <w:r w:rsidR="00892E6D">
              <w:rPr>
                <w:color w:val="000000"/>
              </w:rPr>
              <w:br/>
            </w:r>
            <w:r w:rsidR="009F5941">
              <w:rPr>
                <w:color w:val="000000"/>
              </w:rPr>
              <w:br/>
            </w:r>
          </w:p>
        </w:tc>
        <w:tc>
          <w:tcPr>
            <w:tcW w:w="2862" w:type="dxa"/>
            <w:shd w:val="clear" w:color="auto" w:fill="auto"/>
            <w:tcMar>
              <w:top w:w="10" w:type="dxa"/>
              <w:left w:w="10" w:type="dxa"/>
              <w:bottom w:w="0" w:type="dxa"/>
              <w:right w:w="10" w:type="dxa"/>
            </w:tcMar>
            <w:vAlign w:val="bottom"/>
            <w:hideMark/>
          </w:tcPr>
          <w:p w:rsidR="00615B3D" w:rsidRDefault="00615B3D" w:rsidP="00615B3D">
            <w:pPr>
              <w:pStyle w:val="Gridtext"/>
              <w:rPr>
                <w:color w:val="000000"/>
              </w:rPr>
            </w:pPr>
            <w:r>
              <w:rPr>
                <w:color w:val="000000"/>
              </w:rPr>
              <w:t>Process for issuing accounting standard update</w:t>
            </w:r>
          </w:p>
        </w:tc>
        <w:tc>
          <w:tcPr>
            <w:tcW w:w="288" w:type="dxa"/>
            <w:shd w:val="clear" w:color="auto" w:fill="auto"/>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4</w:t>
            </w:r>
            <w:r w:rsidR="00892E6D">
              <w:rPr>
                <w:color w:val="000000"/>
              </w:rPr>
              <w:br/>
            </w:r>
            <w:r w:rsidR="009F5941">
              <w:rPr>
                <w:color w:val="000000"/>
              </w:rPr>
              <w:br/>
            </w:r>
          </w:p>
        </w:tc>
        <w:tc>
          <w:tcPr>
            <w:tcW w:w="717"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p>
        </w:tc>
        <w:tc>
          <w:tcPr>
            <w:tcW w:w="125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Easy</w:t>
            </w:r>
            <w:r w:rsidR="00892E6D">
              <w:rPr>
                <w:color w:val="000000"/>
              </w:rPr>
              <w:br/>
            </w:r>
            <w:r w:rsidR="009F5941">
              <w:rPr>
                <w:color w:val="000000"/>
              </w:rPr>
              <w:br/>
            </w:r>
          </w:p>
        </w:tc>
        <w:tc>
          <w:tcPr>
            <w:tcW w:w="431" w:type="dxa"/>
            <w:shd w:val="clear" w:color="auto" w:fill="auto"/>
            <w:noWrap/>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r w:rsidR="00892E6D">
              <w:rPr>
                <w:color w:val="000000"/>
              </w:rPr>
              <w:br/>
            </w:r>
            <w:r w:rsidR="009F5941">
              <w:rPr>
                <w:color w:val="000000"/>
              </w:rPr>
              <w:br/>
            </w:r>
          </w:p>
        </w:tc>
        <w:tc>
          <w:tcPr>
            <w:tcW w:w="1288"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Analytic</w:t>
            </w:r>
            <w:r w:rsidR="00892E6D">
              <w:rPr>
                <w:color w:val="000000"/>
              </w:rPr>
              <w:br/>
            </w:r>
            <w:r w:rsidR="009F5941">
              <w:rPr>
                <w:color w:val="000000"/>
              </w:rPr>
              <w:br/>
            </w:r>
          </w:p>
        </w:tc>
        <w:tc>
          <w:tcPr>
            <w:tcW w:w="143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Measurement</w:t>
            </w:r>
            <w:r w:rsidR="00892E6D">
              <w:rPr>
                <w:color w:val="000000"/>
              </w:rPr>
              <w:br/>
            </w:r>
            <w:r w:rsidR="009F5941">
              <w:rPr>
                <w:color w:val="000000"/>
              </w:rPr>
              <w:br/>
            </w:r>
          </w:p>
        </w:tc>
        <w:tc>
          <w:tcPr>
            <w:tcW w:w="1575"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Comprehension</w:t>
            </w:r>
            <w:r w:rsidR="00892E6D">
              <w:rPr>
                <w:color w:val="000000"/>
              </w:rPr>
              <w:br/>
            </w:r>
            <w:r w:rsidR="009F5941">
              <w:rPr>
                <w:color w:val="000000"/>
              </w:rPr>
              <w:br/>
            </w:r>
          </w:p>
        </w:tc>
      </w:tr>
      <w:tr w:rsidR="00615B3D" w:rsidRPr="000B4B45" w:rsidTr="00892E6D">
        <w:trPr>
          <w:trHeight w:val="300"/>
        </w:trPr>
        <w:tc>
          <w:tcPr>
            <w:tcW w:w="825"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r w:rsidRPr="000B4B45">
              <w:t>Q1</w:t>
            </w:r>
            <w:r>
              <w:t>-13</w:t>
            </w:r>
          </w:p>
        </w:tc>
        <w:tc>
          <w:tcPr>
            <w:tcW w:w="2146" w:type="dxa"/>
            <w:shd w:val="clear" w:color="auto" w:fill="auto"/>
            <w:tcMar>
              <w:top w:w="10" w:type="dxa"/>
              <w:left w:w="10" w:type="dxa"/>
              <w:bottom w:w="0" w:type="dxa"/>
              <w:right w:w="10" w:type="dxa"/>
            </w:tcMar>
            <w:vAlign w:val="bottom"/>
            <w:hideMark/>
          </w:tcPr>
          <w:p w:rsidR="00615B3D" w:rsidRDefault="00615B3D" w:rsidP="007435AB">
            <w:pPr>
              <w:pStyle w:val="Gridtext"/>
              <w:rPr>
                <w:color w:val="000000"/>
              </w:rPr>
            </w:pPr>
            <w:r>
              <w:rPr>
                <w:color w:val="000000"/>
              </w:rPr>
              <w:t>Standard Setting</w:t>
            </w:r>
          </w:p>
        </w:tc>
        <w:tc>
          <w:tcPr>
            <w:tcW w:w="2862" w:type="dxa"/>
            <w:shd w:val="clear" w:color="auto" w:fill="auto"/>
            <w:tcMar>
              <w:top w:w="10" w:type="dxa"/>
              <w:left w:w="10" w:type="dxa"/>
              <w:bottom w:w="0" w:type="dxa"/>
              <w:right w:w="10" w:type="dxa"/>
            </w:tcMar>
            <w:vAlign w:val="bottom"/>
            <w:hideMark/>
          </w:tcPr>
          <w:p w:rsidR="00615B3D" w:rsidRDefault="00615B3D" w:rsidP="00615B3D">
            <w:pPr>
              <w:pStyle w:val="Gridtext"/>
              <w:rPr>
                <w:color w:val="000000"/>
              </w:rPr>
            </w:pPr>
            <w:r>
              <w:rPr>
                <w:color w:val="000000"/>
              </w:rPr>
              <w:t>FASB; IASB</w:t>
            </w:r>
          </w:p>
        </w:tc>
        <w:tc>
          <w:tcPr>
            <w:tcW w:w="288" w:type="dxa"/>
            <w:shd w:val="clear" w:color="auto" w:fill="auto"/>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p>
        </w:tc>
        <w:tc>
          <w:tcPr>
            <w:tcW w:w="717"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p>
        </w:tc>
        <w:tc>
          <w:tcPr>
            <w:tcW w:w="125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Easy</w:t>
            </w:r>
          </w:p>
        </w:tc>
        <w:tc>
          <w:tcPr>
            <w:tcW w:w="431" w:type="dxa"/>
            <w:shd w:val="clear" w:color="auto" w:fill="auto"/>
            <w:noWrap/>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p>
        </w:tc>
        <w:tc>
          <w:tcPr>
            <w:tcW w:w="1288"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Analytic</w:t>
            </w:r>
          </w:p>
        </w:tc>
        <w:tc>
          <w:tcPr>
            <w:tcW w:w="143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Measurement</w:t>
            </w:r>
          </w:p>
        </w:tc>
        <w:tc>
          <w:tcPr>
            <w:tcW w:w="1575"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Analysis</w:t>
            </w:r>
          </w:p>
        </w:tc>
      </w:tr>
      <w:tr w:rsidR="00615B3D" w:rsidRPr="000B4B45" w:rsidTr="00892E6D">
        <w:trPr>
          <w:trHeight w:val="300"/>
        </w:trPr>
        <w:tc>
          <w:tcPr>
            <w:tcW w:w="825"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r w:rsidRPr="000B4B45">
              <w:t>Q1</w:t>
            </w:r>
            <w:r>
              <w:t>-14</w:t>
            </w:r>
          </w:p>
        </w:tc>
        <w:tc>
          <w:tcPr>
            <w:tcW w:w="2146" w:type="dxa"/>
            <w:shd w:val="clear" w:color="auto" w:fill="auto"/>
            <w:tcMar>
              <w:top w:w="10" w:type="dxa"/>
              <w:left w:w="10" w:type="dxa"/>
              <w:bottom w:w="0" w:type="dxa"/>
              <w:right w:w="10" w:type="dxa"/>
            </w:tcMar>
            <w:vAlign w:val="bottom"/>
            <w:hideMark/>
          </w:tcPr>
          <w:p w:rsidR="00615B3D" w:rsidRDefault="00615B3D" w:rsidP="007435AB">
            <w:pPr>
              <w:pStyle w:val="Gridtext"/>
              <w:rPr>
                <w:color w:val="000000"/>
              </w:rPr>
            </w:pPr>
            <w:r>
              <w:rPr>
                <w:color w:val="000000"/>
              </w:rPr>
              <w:t>Standard Setting</w:t>
            </w:r>
          </w:p>
        </w:tc>
        <w:tc>
          <w:tcPr>
            <w:tcW w:w="2862" w:type="dxa"/>
            <w:shd w:val="clear" w:color="auto" w:fill="auto"/>
            <w:tcMar>
              <w:top w:w="10" w:type="dxa"/>
              <w:left w:w="10" w:type="dxa"/>
              <w:bottom w:w="0" w:type="dxa"/>
              <w:right w:w="10" w:type="dxa"/>
            </w:tcMar>
            <w:vAlign w:val="bottom"/>
            <w:hideMark/>
          </w:tcPr>
          <w:p w:rsidR="00615B3D" w:rsidRDefault="00615B3D" w:rsidP="00AE6A64">
            <w:pPr>
              <w:pStyle w:val="Gridtext"/>
              <w:rPr>
                <w:color w:val="000000"/>
              </w:rPr>
            </w:pPr>
            <w:r>
              <w:rPr>
                <w:color w:val="000000"/>
              </w:rPr>
              <w:t>Definition of IFRS</w:t>
            </w:r>
          </w:p>
        </w:tc>
        <w:tc>
          <w:tcPr>
            <w:tcW w:w="288" w:type="dxa"/>
            <w:shd w:val="clear" w:color="auto" w:fill="auto"/>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p>
        </w:tc>
        <w:tc>
          <w:tcPr>
            <w:tcW w:w="717"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p>
        </w:tc>
        <w:tc>
          <w:tcPr>
            <w:tcW w:w="125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Easy</w:t>
            </w:r>
          </w:p>
        </w:tc>
        <w:tc>
          <w:tcPr>
            <w:tcW w:w="431" w:type="dxa"/>
            <w:shd w:val="clear" w:color="auto" w:fill="auto"/>
            <w:noWrap/>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p>
        </w:tc>
        <w:tc>
          <w:tcPr>
            <w:tcW w:w="1288"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Analytic</w:t>
            </w:r>
          </w:p>
        </w:tc>
        <w:tc>
          <w:tcPr>
            <w:tcW w:w="143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Measurement</w:t>
            </w:r>
          </w:p>
        </w:tc>
        <w:tc>
          <w:tcPr>
            <w:tcW w:w="1575"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Application</w:t>
            </w:r>
          </w:p>
        </w:tc>
      </w:tr>
      <w:tr w:rsidR="00615B3D" w:rsidRPr="000B4B45" w:rsidTr="00892E6D">
        <w:trPr>
          <w:trHeight w:val="300"/>
        </w:trPr>
        <w:tc>
          <w:tcPr>
            <w:tcW w:w="825"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r w:rsidRPr="000B4B45">
              <w:t>Q1</w:t>
            </w:r>
            <w:r>
              <w:t>-15</w:t>
            </w:r>
          </w:p>
        </w:tc>
        <w:tc>
          <w:tcPr>
            <w:tcW w:w="2146" w:type="dxa"/>
            <w:shd w:val="clear" w:color="auto" w:fill="auto"/>
            <w:tcMar>
              <w:top w:w="10" w:type="dxa"/>
              <w:left w:w="10" w:type="dxa"/>
              <w:bottom w:w="0" w:type="dxa"/>
              <w:right w:w="10" w:type="dxa"/>
            </w:tcMar>
            <w:vAlign w:val="bottom"/>
            <w:hideMark/>
          </w:tcPr>
          <w:p w:rsidR="00615B3D" w:rsidRDefault="00615B3D" w:rsidP="007435AB">
            <w:pPr>
              <w:pStyle w:val="Gridtext"/>
              <w:rPr>
                <w:color w:val="000000"/>
              </w:rPr>
            </w:pPr>
            <w:r>
              <w:rPr>
                <w:color w:val="000000"/>
              </w:rPr>
              <w:t>Standard Setting</w:t>
            </w:r>
          </w:p>
        </w:tc>
        <w:tc>
          <w:tcPr>
            <w:tcW w:w="2862" w:type="dxa"/>
            <w:shd w:val="clear" w:color="auto" w:fill="auto"/>
            <w:tcMar>
              <w:top w:w="10" w:type="dxa"/>
              <w:left w:w="10" w:type="dxa"/>
              <w:bottom w:w="0" w:type="dxa"/>
              <w:right w:w="10" w:type="dxa"/>
            </w:tcMar>
            <w:vAlign w:val="bottom"/>
            <w:hideMark/>
          </w:tcPr>
          <w:p w:rsidR="00615B3D" w:rsidRDefault="00615B3D" w:rsidP="00615B3D">
            <w:pPr>
              <w:pStyle w:val="Gridtext"/>
              <w:rPr>
                <w:color w:val="000000"/>
              </w:rPr>
            </w:pPr>
            <w:r>
              <w:rPr>
                <w:color w:val="000000"/>
              </w:rPr>
              <w:t>FASB; IASB; U.S. GAAP</w:t>
            </w:r>
          </w:p>
        </w:tc>
        <w:tc>
          <w:tcPr>
            <w:tcW w:w="288" w:type="dxa"/>
            <w:shd w:val="clear" w:color="auto" w:fill="auto"/>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p>
        </w:tc>
        <w:tc>
          <w:tcPr>
            <w:tcW w:w="717" w:type="dxa"/>
            <w:shd w:val="clear" w:color="auto" w:fill="auto"/>
            <w:noWrap/>
            <w:tcMar>
              <w:top w:w="10" w:type="dxa"/>
              <w:left w:w="10" w:type="dxa"/>
              <w:bottom w:w="0" w:type="dxa"/>
              <w:right w:w="10" w:type="dxa"/>
            </w:tcMar>
            <w:vAlign w:val="bottom"/>
            <w:hideMark/>
          </w:tcPr>
          <w:p w:rsidR="00615B3D" w:rsidRPr="000B4B45" w:rsidRDefault="00615B3D" w:rsidP="00B91A3B">
            <w:pPr>
              <w:pStyle w:val="Gridtext"/>
            </w:pPr>
          </w:p>
        </w:tc>
        <w:tc>
          <w:tcPr>
            <w:tcW w:w="125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Easy</w:t>
            </w:r>
          </w:p>
        </w:tc>
        <w:tc>
          <w:tcPr>
            <w:tcW w:w="431" w:type="dxa"/>
            <w:shd w:val="clear" w:color="auto" w:fill="auto"/>
            <w:noWrap/>
            <w:tcMar>
              <w:top w:w="10" w:type="dxa"/>
              <w:left w:w="10" w:type="dxa"/>
              <w:bottom w:w="0" w:type="dxa"/>
              <w:right w:w="10" w:type="dxa"/>
            </w:tcMar>
            <w:vAlign w:val="bottom"/>
            <w:hideMark/>
          </w:tcPr>
          <w:p w:rsidR="00615B3D" w:rsidRDefault="00615B3D" w:rsidP="00A415D1">
            <w:pPr>
              <w:pStyle w:val="Gridtext"/>
              <w:jc w:val="center"/>
              <w:rPr>
                <w:color w:val="000000"/>
              </w:rPr>
            </w:pPr>
            <w:r>
              <w:rPr>
                <w:color w:val="000000"/>
              </w:rPr>
              <w:t>5</w:t>
            </w:r>
          </w:p>
        </w:tc>
        <w:tc>
          <w:tcPr>
            <w:tcW w:w="1288"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Analytic</w:t>
            </w:r>
          </w:p>
        </w:tc>
        <w:tc>
          <w:tcPr>
            <w:tcW w:w="1432"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Measurement</w:t>
            </w:r>
          </w:p>
        </w:tc>
        <w:tc>
          <w:tcPr>
            <w:tcW w:w="1575" w:type="dxa"/>
            <w:shd w:val="clear" w:color="auto" w:fill="auto"/>
            <w:noWrap/>
            <w:tcMar>
              <w:top w:w="10" w:type="dxa"/>
              <w:left w:w="10" w:type="dxa"/>
              <w:bottom w:w="0" w:type="dxa"/>
              <w:right w:w="10" w:type="dxa"/>
            </w:tcMar>
            <w:vAlign w:val="bottom"/>
            <w:hideMark/>
          </w:tcPr>
          <w:p w:rsidR="00615B3D" w:rsidRDefault="00615B3D" w:rsidP="00B91A3B">
            <w:pPr>
              <w:pStyle w:val="Gridtext"/>
              <w:rPr>
                <w:color w:val="000000"/>
              </w:rPr>
            </w:pPr>
            <w:r>
              <w:rPr>
                <w:color w:val="000000"/>
              </w:rPr>
              <w:t>Analysis</w:t>
            </w:r>
          </w:p>
        </w:tc>
      </w:tr>
      <w:tr w:rsidR="009F5941"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F5941" w:rsidRPr="000B4B45" w:rsidRDefault="009F5941" w:rsidP="009F5941">
            <w:pPr>
              <w:pStyle w:val="Gridtext"/>
            </w:pPr>
            <w:r w:rsidRPr="000B4B45">
              <w:t>Q1</w:t>
            </w:r>
            <w:r>
              <w:t>-16</w:t>
            </w:r>
            <w:r w:rsidR="00540FA6">
              <w:br/>
            </w:r>
          </w:p>
        </w:tc>
        <w:tc>
          <w:tcPr>
            <w:tcW w:w="2146" w:type="dxa"/>
            <w:shd w:val="clear" w:color="auto" w:fill="auto"/>
            <w:tcMar>
              <w:top w:w="10" w:type="dxa"/>
              <w:left w:w="10" w:type="dxa"/>
              <w:bottom w:w="0" w:type="dxa"/>
              <w:right w:w="10" w:type="dxa"/>
            </w:tcMar>
            <w:vAlign w:val="bottom"/>
            <w:hideMark/>
          </w:tcPr>
          <w:p w:rsidR="009F5941" w:rsidRDefault="009F5941" w:rsidP="007435AB">
            <w:pPr>
              <w:pStyle w:val="Gridtext"/>
              <w:rPr>
                <w:color w:val="000000"/>
              </w:rPr>
            </w:pPr>
            <w:r>
              <w:rPr>
                <w:color w:val="000000"/>
              </w:rPr>
              <w:t>Standard Setting</w:t>
            </w:r>
            <w:r w:rsidR="00540FA6">
              <w:rPr>
                <w:color w:val="000000"/>
              </w:rPr>
              <w:br/>
            </w:r>
          </w:p>
        </w:tc>
        <w:tc>
          <w:tcPr>
            <w:tcW w:w="2862" w:type="dxa"/>
            <w:shd w:val="clear" w:color="auto" w:fill="auto"/>
            <w:tcMar>
              <w:top w:w="10" w:type="dxa"/>
              <w:left w:w="10" w:type="dxa"/>
              <w:bottom w:w="0" w:type="dxa"/>
              <w:right w:w="10" w:type="dxa"/>
            </w:tcMar>
            <w:vAlign w:val="bottom"/>
            <w:hideMark/>
          </w:tcPr>
          <w:p w:rsidR="009F5941" w:rsidRDefault="009F5941" w:rsidP="009F5941">
            <w:pPr>
              <w:pStyle w:val="Gridtext"/>
              <w:rPr>
                <w:color w:val="000000"/>
              </w:rPr>
            </w:pPr>
            <w:r>
              <w:rPr>
                <w:color w:val="000000"/>
              </w:rPr>
              <w:t>Changing standards over time; U.S. GAAP; IFRS</w:t>
            </w:r>
          </w:p>
        </w:tc>
        <w:tc>
          <w:tcPr>
            <w:tcW w:w="288" w:type="dxa"/>
            <w:shd w:val="clear" w:color="auto" w:fill="auto"/>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6</w:t>
            </w:r>
            <w:r w:rsidR="00540FA6">
              <w:rPr>
                <w:color w:val="000000"/>
              </w:rPr>
              <w:br/>
            </w:r>
          </w:p>
        </w:tc>
        <w:tc>
          <w:tcPr>
            <w:tcW w:w="717" w:type="dxa"/>
            <w:shd w:val="clear" w:color="auto" w:fill="auto"/>
            <w:noWrap/>
            <w:tcMar>
              <w:top w:w="10" w:type="dxa"/>
              <w:left w:w="10" w:type="dxa"/>
              <w:bottom w:w="0" w:type="dxa"/>
              <w:right w:w="10" w:type="dxa"/>
            </w:tcMar>
            <w:vAlign w:val="bottom"/>
            <w:hideMark/>
          </w:tcPr>
          <w:p w:rsidR="009F5941" w:rsidRPr="000B4B45" w:rsidRDefault="009F5941" w:rsidP="00B91A3B">
            <w:pPr>
              <w:pStyle w:val="Gridtext"/>
            </w:pPr>
          </w:p>
        </w:tc>
        <w:tc>
          <w:tcPr>
            <w:tcW w:w="125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Easy</w:t>
            </w:r>
            <w:r w:rsidR="00540FA6">
              <w:rPr>
                <w:color w:val="000000"/>
              </w:rPr>
              <w:br/>
            </w:r>
          </w:p>
        </w:tc>
        <w:tc>
          <w:tcPr>
            <w:tcW w:w="431" w:type="dxa"/>
            <w:shd w:val="clear" w:color="auto" w:fill="auto"/>
            <w:noWrap/>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5</w:t>
            </w:r>
            <w:r w:rsidR="00540FA6">
              <w:rPr>
                <w:color w:val="000000"/>
              </w:rPr>
              <w:br/>
            </w:r>
          </w:p>
        </w:tc>
        <w:tc>
          <w:tcPr>
            <w:tcW w:w="1288"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Analytic</w:t>
            </w:r>
            <w:r w:rsidR="00540FA6">
              <w:rPr>
                <w:color w:val="000000"/>
              </w:rPr>
              <w:br/>
            </w:r>
          </w:p>
        </w:tc>
        <w:tc>
          <w:tcPr>
            <w:tcW w:w="143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Measurement</w:t>
            </w:r>
            <w:r w:rsidR="00892E6D">
              <w:rPr>
                <w:color w:val="000000"/>
              </w:rPr>
              <w:br/>
            </w:r>
          </w:p>
        </w:tc>
        <w:tc>
          <w:tcPr>
            <w:tcW w:w="1575"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Comprehension</w:t>
            </w:r>
            <w:r w:rsidR="00892E6D">
              <w:rPr>
                <w:color w:val="000000"/>
              </w:rPr>
              <w:br/>
            </w:r>
          </w:p>
        </w:tc>
      </w:tr>
      <w:tr w:rsidR="009F5941"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F5941" w:rsidRPr="000B4B45" w:rsidRDefault="009F5941" w:rsidP="009F5941">
            <w:pPr>
              <w:pStyle w:val="Gridtext"/>
            </w:pPr>
            <w:r w:rsidRPr="000B4B45">
              <w:t>Q1</w:t>
            </w:r>
            <w:r>
              <w:t>-17</w:t>
            </w:r>
            <w:r w:rsidR="00540FA6">
              <w:br/>
            </w:r>
          </w:p>
        </w:tc>
        <w:tc>
          <w:tcPr>
            <w:tcW w:w="2146" w:type="dxa"/>
            <w:shd w:val="clear" w:color="auto" w:fill="auto"/>
            <w:tcMar>
              <w:top w:w="10" w:type="dxa"/>
              <w:left w:w="10" w:type="dxa"/>
              <w:bottom w:w="0" w:type="dxa"/>
              <w:right w:w="10" w:type="dxa"/>
            </w:tcMar>
            <w:vAlign w:val="bottom"/>
            <w:hideMark/>
          </w:tcPr>
          <w:p w:rsidR="009F5941" w:rsidRDefault="009F5941" w:rsidP="00B91A3B">
            <w:pPr>
              <w:pStyle w:val="Gridtext"/>
              <w:rPr>
                <w:color w:val="000000"/>
              </w:rPr>
            </w:pPr>
            <w:r>
              <w:rPr>
                <w:color w:val="000000"/>
              </w:rPr>
              <w:t>Financial Statements</w:t>
            </w:r>
            <w:r w:rsidR="00540FA6">
              <w:rPr>
                <w:color w:val="000000"/>
              </w:rPr>
              <w:br/>
            </w:r>
          </w:p>
        </w:tc>
        <w:tc>
          <w:tcPr>
            <w:tcW w:w="2862" w:type="dxa"/>
            <w:shd w:val="clear" w:color="auto" w:fill="auto"/>
            <w:tcMar>
              <w:top w:w="10" w:type="dxa"/>
              <w:left w:w="10" w:type="dxa"/>
              <w:bottom w:w="0" w:type="dxa"/>
              <w:right w:w="10" w:type="dxa"/>
            </w:tcMar>
            <w:vAlign w:val="bottom"/>
            <w:hideMark/>
          </w:tcPr>
          <w:p w:rsidR="009F5941" w:rsidRDefault="009F5941" w:rsidP="00615B3D">
            <w:pPr>
              <w:pStyle w:val="Gridtext"/>
              <w:rPr>
                <w:color w:val="000000"/>
              </w:rPr>
            </w:pPr>
            <w:r>
              <w:rPr>
                <w:color w:val="000000"/>
              </w:rPr>
              <w:t>The role of the four major financial statements</w:t>
            </w:r>
          </w:p>
        </w:tc>
        <w:tc>
          <w:tcPr>
            <w:tcW w:w="288" w:type="dxa"/>
            <w:shd w:val="clear" w:color="auto" w:fill="auto"/>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7</w:t>
            </w:r>
            <w:r w:rsidR="00540FA6">
              <w:rPr>
                <w:color w:val="000000"/>
              </w:rPr>
              <w:br/>
            </w:r>
          </w:p>
        </w:tc>
        <w:tc>
          <w:tcPr>
            <w:tcW w:w="717" w:type="dxa"/>
            <w:shd w:val="clear" w:color="auto" w:fill="auto"/>
            <w:noWrap/>
            <w:tcMar>
              <w:top w:w="10" w:type="dxa"/>
              <w:left w:w="10" w:type="dxa"/>
              <w:bottom w:w="0" w:type="dxa"/>
              <w:right w:w="10" w:type="dxa"/>
            </w:tcMar>
            <w:vAlign w:val="bottom"/>
            <w:hideMark/>
          </w:tcPr>
          <w:p w:rsidR="009F5941" w:rsidRPr="000B4B45" w:rsidRDefault="009F5941" w:rsidP="00B91A3B">
            <w:pPr>
              <w:pStyle w:val="Gridtext"/>
            </w:pPr>
          </w:p>
        </w:tc>
        <w:tc>
          <w:tcPr>
            <w:tcW w:w="125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Easy</w:t>
            </w:r>
            <w:r w:rsidR="00540FA6">
              <w:rPr>
                <w:color w:val="000000"/>
              </w:rPr>
              <w:br/>
            </w:r>
          </w:p>
        </w:tc>
        <w:tc>
          <w:tcPr>
            <w:tcW w:w="431" w:type="dxa"/>
            <w:shd w:val="clear" w:color="auto" w:fill="auto"/>
            <w:noWrap/>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5</w:t>
            </w:r>
            <w:r w:rsidR="00540FA6">
              <w:rPr>
                <w:color w:val="000000"/>
              </w:rPr>
              <w:br/>
            </w:r>
          </w:p>
        </w:tc>
        <w:tc>
          <w:tcPr>
            <w:tcW w:w="1288"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Analytic</w:t>
            </w:r>
            <w:r w:rsidR="00540FA6">
              <w:rPr>
                <w:color w:val="000000"/>
              </w:rPr>
              <w:br/>
            </w:r>
          </w:p>
        </w:tc>
        <w:tc>
          <w:tcPr>
            <w:tcW w:w="143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Reporting</w:t>
            </w:r>
            <w:r w:rsidR="00540FA6">
              <w:rPr>
                <w:color w:val="000000"/>
              </w:rPr>
              <w:br/>
            </w:r>
          </w:p>
        </w:tc>
        <w:tc>
          <w:tcPr>
            <w:tcW w:w="1575"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Application</w:t>
            </w:r>
            <w:r w:rsidR="00540FA6">
              <w:rPr>
                <w:color w:val="000000"/>
              </w:rPr>
              <w:br/>
            </w:r>
          </w:p>
        </w:tc>
      </w:tr>
      <w:tr w:rsidR="009F5941"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F5941" w:rsidRPr="000B4B45" w:rsidRDefault="009F5941" w:rsidP="009F5941">
            <w:pPr>
              <w:pStyle w:val="Gridtext"/>
            </w:pPr>
            <w:r w:rsidRPr="000B4B45">
              <w:t>Q1</w:t>
            </w:r>
            <w:r>
              <w:t>-18</w:t>
            </w:r>
            <w:r w:rsidR="00540FA6">
              <w:br/>
            </w:r>
          </w:p>
        </w:tc>
        <w:tc>
          <w:tcPr>
            <w:tcW w:w="2146" w:type="dxa"/>
            <w:shd w:val="clear" w:color="auto" w:fill="auto"/>
            <w:tcMar>
              <w:top w:w="10" w:type="dxa"/>
              <w:left w:w="10" w:type="dxa"/>
              <w:bottom w:w="0" w:type="dxa"/>
              <w:right w:w="10" w:type="dxa"/>
            </w:tcMar>
            <w:vAlign w:val="bottom"/>
            <w:hideMark/>
          </w:tcPr>
          <w:p w:rsidR="009F5941" w:rsidRDefault="009F5941" w:rsidP="00B91A3B">
            <w:pPr>
              <w:pStyle w:val="Gridtext"/>
              <w:rPr>
                <w:color w:val="000000"/>
              </w:rPr>
            </w:pPr>
            <w:r>
              <w:rPr>
                <w:color w:val="000000"/>
              </w:rPr>
              <w:t>Financial Statements</w:t>
            </w:r>
            <w:r w:rsidR="00540FA6">
              <w:rPr>
                <w:color w:val="000000"/>
              </w:rPr>
              <w:br/>
            </w:r>
          </w:p>
        </w:tc>
        <w:tc>
          <w:tcPr>
            <w:tcW w:w="2862" w:type="dxa"/>
            <w:shd w:val="clear" w:color="auto" w:fill="auto"/>
            <w:tcMar>
              <w:top w:w="10" w:type="dxa"/>
              <w:left w:w="10" w:type="dxa"/>
              <w:bottom w:w="0" w:type="dxa"/>
              <w:right w:w="10" w:type="dxa"/>
            </w:tcMar>
            <w:vAlign w:val="bottom"/>
            <w:hideMark/>
          </w:tcPr>
          <w:p w:rsidR="009F5941" w:rsidRDefault="009F5941" w:rsidP="009F5941">
            <w:pPr>
              <w:pStyle w:val="Gridtext"/>
              <w:rPr>
                <w:color w:val="000000"/>
              </w:rPr>
            </w:pPr>
            <w:r>
              <w:rPr>
                <w:color w:val="000000"/>
              </w:rPr>
              <w:t>Balance sheet; financial reporting stakeholders</w:t>
            </w:r>
          </w:p>
        </w:tc>
        <w:tc>
          <w:tcPr>
            <w:tcW w:w="288" w:type="dxa"/>
            <w:shd w:val="clear" w:color="auto" w:fill="auto"/>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7</w:t>
            </w:r>
            <w:r w:rsidR="00540FA6">
              <w:rPr>
                <w:color w:val="000000"/>
              </w:rPr>
              <w:br/>
            </w:r>
          </w:p>
        </w:tc>
        <w:tc>
          <w:tcPr>
            <w:tcW w:w="717" w:type="dxa"/>
            <w:shd w:val="clear" w:color="auto" w:fill="auto"/>
            <w:noWrap/>
            <w:tcMar>
              <w:top w:w="10" w:type="dxa"/>
              <w:left w:w="10" w:type="dxa"/>
              <w:bottom w:w="0" w:type="dxa"/>
              <w:right w:w="10" w:type="dxa"/>
            </w:tcMar>
            <w:vAlign w:val="bottom"/>
            <w:hideMark/>
          </w:tcPr>
          <w:p w:rsidR="009F5941" w:rsidRPr="000B4B45" w:rsidRDefault="009F5941" w:rsidP="00B91A3B">
            <w:pPr>
              <w:pStyle w:val="Gridtext"/>
            </w:pPr>
          </w:p>
        </w:tc>
        <w:tc>
          <w:tcPr>
            <w:tcW w:w="125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Easy</w:t>
            </w:r>
            <w:r w:rsidR="00540FA6">
              <w:rPr>
                <w:color w:val="000000"/>
              </w:rPr>
              <w:br/>
            </w:r>
          </w:p>
        </w:tc>
        <w:tc>
          <w:tcPr>
            <w:tcW w:w="431" w:type="dxa"/>
            <w:shd w:val="clear" w:color="auto" w:fill="auto"/>
            <w:noWrap/>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5</w:t>
            </w:r>
            <w:r w:rsidR="00540FA6">
              <w:rPr>
                <w:color w:val="000000"/>
              </w:rPr>
              <w:br/>
            </w:r>
          </w:p>
        </w:tc>
        <w:tc>
          <w:tcPr>
            <w:tcW w:w="1288"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Analytic</w:t>
            </w:r>
            <w:r w:rsidR="00540FA6">
              <w:rPr>
                <w:color w:val="000000"/>
              </w:rPr>
              <w:br/>
            </w:r>
          </w:p>
        </w:tc>
        <w:tc>
          <w:tcPr>
            <w:tcW w:w="143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Reporting</w:t>
            </w:r>
            <w:r w:rsidR="00540FA6">
              <w:rPr>
                <w:color w:val="000000"/>
              </w:rPr>
              <w:br/>
            </w:r>
          </w:p>
        </w:tc>
        <w:tc>
          <w:tcPr>
            <w:tcW w:w="1575"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Application</w:t>
            </w:r>
            <w:r w:rsidR="00540FA6">
              <w:rPr>
                <w:color w:val="000000"/>
              </w:rPr>
              <w:br/>
            </w:r>
          </w:p>
        </w:tc>
      </w:tr>
      <w:tr w:rsidR="009F5941"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F5941" w:rsidRPr="000B4B45" w:rsidRDefault="009F5941" w:rsidP="009F5941">
            <w:pPr>
              <w:pStyle w:val="Gridtext"/>
            </w:pPr>
            <w:r w:rsidRPr="000B4B45">
              <w:t>Q1</w:t>
            </w:r>
            <w:r>
              <w:t>-19</w:t>
            </w:r>
            <w:r w:rsidR="00540FA6">
              <w:br/>
            </w:r>
          </w:p>
        </w:tc>
        <w:tc>
          <w:tcPr>
            <w:tcW w:w="2146" w:type="dxa"/>
            <w:shd w:val="clear" w:color="auto" w:fill="auto"/>
            <w:tcMar>
              <w:top w:w="10" w:type="dxa"/>
              <w:left w:w="10" w:type="dxa"/>
              <w:bottom w:w="0" w:type="dxa"/>
              <w:right w:w="10" w:type="dxa"/>
            </w:tcMar>
            <w:vAlign w:val="bottom"/>
            <w:hideMark/>
          </w:tcPr>
          <w:p w:rsidR="009F5941" w:rsidRDefault="009F5941" w:rsidP="00B91A3B">
            <w:pPr>
              <w:pStyle w:val="Gridtext"/>
              <w:rPr>
                <w:color w:val="000000"/>
              </w:rPr>
            </w:pPr>
            <w:r>
              <w:rPr>
                <w:color w:val="000000"/>
              </w:rPr>
              <w:t>Financial Statements</w:t>
            </w:r>
            <w:r w:rsidR="00540FA6">
              <w:rPr>
                <w:color w:val="000000"/>
              </w:rPr>
              <w:br/>
            </w:r>
          </w:p>
        </w:tc>
        <w:tc>
          <w:tcPr>
            <w:tcW w:w="2862" w:type="dxa"/>
            <w:shd w:val="clear" w:color="auto" w:fill="auto"/>
            <w:tcMar>
              <w:top w:w="10" w:type="dxa"/>
              <w:left w:w="10" w:type="dxa"/>
              <w:bottom w:w="0" w:type="dxa"/>
              <w:right w:w="10" w:type="dxa"/>
            </w:tcMar>
            <w:vAlign w:val="bottom"/>
            <w:hideMark/>
          </w:tcPr>
          <w:p w:rsidR="009F5941" w:rsidRDefault="009F5941" w:rsidP="009F5941">
            <w:pPr>
              <w:pStyle w:val="Gridtext"/>
              <w:rPr>
                <w:color w:val="000000"/>
              </w:rPr>
            </w:pPr>
            <w:r>
              <w:rPr>
                <w:color w:val="000000"/>
              </w:rPr>
              <w:t>Income statement; financial reporting stakeholders</w:t>
            </w:r>
          </w:p>
        </w:tc>
        <w:tc>
          <w:tcPr>
            <w:tcW w:w="288" w:type="dxa"/>
            <w:shd w:val="clear" w:color="auto" w:fill="auto"/>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7</w:t>
            </w:r>
            <w:r w:rsidR="00540FA6">
              <w:rPr>
                <w:color w:val="000000"/>
              </w:rPr>
              <w:br/>
            </w:r>
          </w:p>
        </w:tc>
        <w:tc>
          <w:tcPr>
            <w:tcW w:w="717" w:type="dxa"/>
            <w:shd w:val="clear" w:color="auto" w:fill="auto"/>
            <w:noWrap/>
            <w:tcMar>
              <w:top w:w="10" w:type="dxa"/>
              <w:left w:w="10" w:type="dxa"/>
              <w:bottom w:w="0" w:type="dxa"/>
              <w:right w:w="10" w:type="dxa"/>
            </w:tcMar>
            <w:vAlign w:val="bottom"/>
            <w:hideMark/>
          </w:tcPr>
          <w:p w:rsidR="009F5941" w:rsidRPr="000B4B45" w:rsidRDefault="009F5941" w:rsidP="00B91A3B">
            <w:pPr>
              <w:pStyle w:val="Gridtext"/>
            </w:pPr>
          </w:p>
        </w:tc>
        <w:tc>
          <w:tcPr>
            <w:tcW w:w="125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Easy</w:t>
            </w:r>
            <w:r w:rsidR="00540FA6">
              <w:rPr>
                <w:color w:val="000000"/>
              </w:rPr>
              <w:br/>
            </w:r>
          </w:p>
        </w:tc>
        <w:tc>
          <w:tcPr>
            <w:tcW w:w="431" w:type="dxa"/>
            <w:shd w:val="clear" w:color="auto" w:fill="auto"/>
            <w:noWrap/>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5</w:t>
            </w:r>
            <w:r w:rsidR="00540FA6">
              <w:rPr>
                <w:color w:val="000000"/>
              </w:rPr>
              <w:br/>
            </w:r>
          </w:p>
        </w:tc>
        <w:tc>
          <w:tcPr>
            <w:tcW w:w="1288"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Analytic</w:t>
            </w:r>
            <w:r w:rsidR="00540FA6">
              <w:rPr>
                <w:color w:val="000000"/>
              </w:rPr>
              <w:br/>
            </w:r>
          </w:p>
        </w:tc>
        <w:tc>
          <w:tcPr>
            <w:tcW w:w="143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Reporting</w:t>
            </w:r>
            <w:r w:rsidR="00540FA6">
              <w:rPr>
                <w:color w:val="000000"/>
              </w:rPr>
              <w:br/>
            </w:r>
          </w:p>
        </w:tc>
        <w:tc>
          <w:tcPr>
            <w:tcW w:w="1575"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Application</w:t>
            </w:r>
            <w:r w:rsidR="00540FA6">
              <w:rPr>
                <w:color w:val="000000"/>
              </w:rPr>
              <w:br/>
            </w:r>
          </w:p>
        </w:tc>
      </w:tr>
      <w:tr w:rsidR="009F5941"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F5941" w:rsidRPr="000B4B45" w:rsidRDefault="009F5941" w:rsidP="009F5941">
            <w:pPr>
              <w:pStyle w:val="Gridtext"/>
            </w:pPr>
            <w:r w:rsidRPr="000B4B45">
              <w:t>Q1</w:t>
            </w:r>
            <w:r>
              <w:t>-20</w:t>
            </w:r>
            <w:r w:rsidR="00540FA6">
              <w:br/>
            </w:r>
            <w:r w:rsidR="00540FA6">
              <w:br/>
            </w:r>
          </w:p>
        </w:tc>
        <w:tc>
          <w:tcPr>
            <w:tcW w:w="2146" w:type="dxa"/>
            <w:shd w:val="clear" w:color="auto" w:fill="auto"/>
            <w:tcMar>
              <w:top w:w="10" w:type="dxa"/>
              <w:left w:w="10" w:type="dxa"/>
              <w:bottom w:w="0" w:type="dxa"/>
              <w:right w:w="10" w:type="dxa"/>
            </w:tcMar>
            <w:vAlign w:val="bottom"/>
            <w:hideMark/>
          </w:tcPr>
          <w:p w:rsidR="009F5941" w:rsidRDefault="009F5941" w:rsidP="00B91A3B">
            <w:pPr>
              <w:pStyle w:val="Gridtext"/>
              <w:rPr>
                <w:color w:val="000000"/>
              </w:rPr>
            </w:pPr>
            <w:r>
              <w:rPr>
                <w:color w:val="000000"/>
              </w:rPr>
              <w:t>Financial Statements</w:t>
            </w:r>
            <w:r w:rsidR="00540FA6">
              <w:rPr>
                <w:color w:val="000000"/>
              </w:rPr>
              <w:br/>
            </w:r>
            <w:r w:rsidR="00540FA6">
              <w:rPr>
                <w:color w:val="000000"/>
              </w:rPr>
              <w:br/>
            </w:r>
          </w:p>
        </w:tc>
        <w:tc>
          <w:tcPr>
            <w:tcW w:w="2862" w:type="dxa"/>
            <w:shd w:val="clear" w:color="auto" w:fill="auto"/>
            <w:tcMar>
              <w:top w:w="10" w:type="dxa"/>
              <w:left w:w="10" w:type="dxa"/>
              <w:bottom w:w="0" w:type="dxa"/>
              <w:right w:w="10" w:type="dxa"/>
            </w:tcMar>
            <w:vAlign w:val="bottom"/>
            <w:hideMark/>
          </w:tcPr>
          <w:p w:rsidR="009F5941" w:rsidRDefault="009F5941" w:rsidP="009F5941">
            <w:pPr>
              <w:pStyle w:val="Gridtext"/>
              <w:rPr>
                <w:color w:val="000000"/>
              </w:rPr>
            </w:pPr>
            <w:r>
              <w:rPr>
                <w:color w:val="000000"/>
              </w:rPr>
              <w:t>Statement of cash flows; financial reporting stakeholders</w:t>
            </w:r>
          </w:p>
        </w:tc>
        <w:tc>
          <w:tcPr>
            <w:tcW w:w="288" w:type="dxa"/>
            <w:shd w:val="clear" w:color="auto" w:fill="auto"/>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7</w:t>
            </w:r>
            <w:r w:rsidR="00540FA6">
              <w:rPr>
                <w:color w:val="000000"/>
              </w:rPr>
              <w:br/>
            </w:r>
            <w:r w:rsidR="00540FA6">
              <w:rPr>
                <w:color w:val="000000"/>
              </w:rPr>
              <w:br/>
            </w:r>
          </w:p>
        </w:tc>
        <w:tc>
          <w:tcPr>
            <w:tcW w:w="717" w:type="dxa"/>
            <w:shd w:val="clear" w:color="auto" w:fill="auto"/>
            <w:noWrap/>
            <w:tcMar>
              <w:top w:w="10" w:type="dxa"/>
              <w:left w:w="10" w:type="dxa"/>
              <w:bottom w:w="0" w:type="dxa"/>
              <w:right w:w="10" w:type="dxa"/>
            </w:tcMar>
            <w:vAlign w:val="bottom"/>
            <w:hideMark/>
          </w:tcPr>
          <w:p w:rsidR="009F5941" w:rsidRPr="000B4B45" w:rsidRDefault="009F5941" w:rsidP="00B91A3B">
            <w:pPr>
              <w:pStyle w:val="Gridtext"/>
            </w:pPr>
          </w:p>
        </w:tc>
        <w:tc>
          <w:tcPr>
            <w:tcW w:w="125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Easy</w:t>
            </w:r>
            <w:r w:rsidR="00540FA6">
              <w:rPr>
                <w:color w:val="000000"/>
              </w:rPr>
              <w:br/>
            </w:r>
            <w:r w:rsidR="00540FA6">
              <w:rPr>
                <w:color w:val="000000"/>
              </w:rPr>
              <w:br/>
            </w:r>
          </w:p>
        </w:tc>
        <w:tc>
          <w:tcPr>
            <w:tcW w:w="431" w:type="dxa"/>
            <w:shd w:val="clear" w:color="auto" w:fill="auto"/>
            <w:noWrap/>
            <w:tcMar>
              <w:top w:w="10" w:type="dxa"/>
              <w:left w:w="10" w:type="dxa"/>
              <w:bottom w:w="0" w:type="dxa"/>
              <w:right w:w="10" w:type="dxa"/>
            </w:tcMar>
            <w:vAlign w:val="bottom"/>
            <w:hideMark/>
          </w:tcPr>
          <w:p w:rsidR="009F5941" w:rsidRDefault="009F5941" w:rsidP="00A415D1">
            <w:pPr>
              <w:pStyle w:val="Gridtext"/>
              <w:jc w:val="center"/>
              <w:rPr>
                <w:color w:val="000000"/>
              </w:rPr>
            </w:pPr>
            <w:r>
              <w:rPr>
                <w:color w:val="000000"/>
              </w:rPr>
              <w:t>5</w:t>
            </w:r>
            <w:r w:rsidR="00540FA6">
              <w:rPr>
                <w:color w:val="000000"/>
              </w:rPr>
              <w:br/>
            </w:r>
            <w:r w:rsidR="00540FA6">
              <w:rPr>
                <w:color w:val="000000"/>
              </w:rPr>
              <w:br/>
            </w:r>
          </w:p>
        </w:tc>
        <w:tc>
          <w:tcPr>
            <w:tcW w:w="1288"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Analytic</w:t>
            </w:r>
            <w:r w:rsidR="00540FA6">
              <w:rPr>
                <w:color w:val="000000"/>
              </w:rPr>
              <w:br/>
            </w:r>
            <w:r w:rsidR="00540FA6">
              <w:rPr>
                <w:color w:val="000000"/>
              </w:rPr>
              <w:br/>
            </w:r>
          </w:p>
        </w:tc>
        <w:tc>
          <w:tcPr>
            <w:tcW w:w="1432"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Reporting</w:t>
            </w:r>
            <w:r w:rsidR="00540FA6">
              <w:rPr>
                <w:color w:val="000000"/>
              </w:rPr>
              <w:br/>
            </w:r>
            <w:r w:rsidR="00540FA6">
              <w:rPr>
                <w:color w:val="000000"/>
              </w:rPr>
              <w:br/>
            </w:r>
          </w:p>
        </w:tc>
        <w:tc>
          <w:tcPr>
            <w:tcW w:w="1575" w:type="dxa"/>
            <w:shd w:val="clear" w:color="auto" w:fill="auto"/>
            <w:noWrap/>
            <w:tcMar>
              <w:top w:w="10" w:type="dxa"/>
              <w:left w:w="10" w:type="dxa"/>
              <w:bottom w:w="0" w:type="dxa"/>
              <w:right w:w="10" w:type="dxa"/>
            </w:tcMar>
            <w:vAlign w:val="bottom"/>
            <w:hideMark/>
          </w:tcPr>
          <w:p w:rsidR="009F5941" w:rsidRDefault="009F5941" w:rsidP="00B91A3B">
            <w:pPr>
              <w:pStyle w:val="Gridtext"/>
              <w:rPr>
                <w:color w:val="000000"/>
              </w:rPr>
            </w:pPr>
            <w:r>
              <w:rPr>
                <w:color w:val="000000"/>
              </w:rPr>
              <w:t>Application</w:t>
            </w:r>
            <w:r w:rsidR="00540FA6">
              <w:rPr>
                <w:color w:val="000000"/>
              </w:rPr>
              <w:br/>
            </w:r>
            <w:r w:rsidR="00540FA6">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111D94" w:rsidP="009F5941">
            <w:pPr>
              <w:pStyle w:val="Gridtext"/>
            </w:pPr>
            <w:r w:rsidRPr="000B4B45">
              <w:t>Q1</w:t>
            </w:r>
            <w:r>
              <w:t>-21</w:t>
            </w:r>
            <w:r>
              <w:br/>
            </w:r>
            <w:r>
              <w:br/>
            </w:r>
          </w:p>
        </w:tc>
        <w:tc>
          <w:tcPr>
            <w:tcW w:w="2146" w:type="dxa"/>
            <w:shd w:val="clear" w:color="auto" w:fill="auto"/>
            <w:tcMar>
              <w:top w:w="10" w:type="dxa"/>
              <w:left w:w="10" w:type="dxa"/>
              <w:bottom w:w="0" w:type="dxa"/>
              <w:right w:w="10" w:type="dxa"/>
            </w:tcMar>
            <w:vAlign w:val="bottom"/>
            <w:hideMark/>
          </w:tcPr>
          <w:p w:rsidR="00111D94" w:rsidRDefault="00111D94" w:rsidP="00B91A3B">
            <w:pPr>
              <w:pStyle w:val="Gridtext"/>
              <w:rPr>
                <w:color w:val="000000"/>
              </w:rPr>
            </w:pPr>
            <w:r>
              <w:rPr>
                <w:color w:val="000000"/>
              </w:rPr>
              <w:t>Financial Statements</w:t>
            </w:r>
            <w:r>
              <w:rPr>
                <w:color w:val="000000"/>
              </w:rPr>
              <w:br/>
            </w:r>
            <w:r>
              <w:rPr>
                <w:color w:val="000000"/>
              </w:rPr>
              <w:br/>
            </w:r>
          </w:p>
        </w:tc>
        <w:tc>
          <w:tcPr>
            <w:tcW w:w="2862" w:type="dxa"/>
            <w:shd w:val="clear" w:color="auto" w:fill="auto"/>
            <w:tcMar>
              <w:top w:w="10" w:type="dxa"/>
              <w:left w:w="10" w:type="dxa"/>
              <w:bottom w:w="0" w:type="dxa"/>
              <w:right w:w="10" w:type="dxa"/>
            </w:tcMar>
            <w:vAlign w:val="bottom"/>
            <w:hideMark/>
          </w:tcPr>
          <w:p w:rsidR="00111D94" w:rsidRDefault="00111D94" w:rsidP="0060212E">
            <w:pPr>
              <w:pStyle w:val="Gridtext"/>
              <w:rPr>
                <w:color w:val="000000"/>
              </w:rPr>
            </w:pPr>
            <w:r>
              <w:rPr>
                <w:color w:val="000000"/>
              </w:rPr>
              <w:t>Statement of s</w:t>
            </w:r>
            <w:r w:rsidR="0060212E">
              <w:rPr>
                <w:color w:val="000000"/>
              </w:rPr>
              <w:t>hare</w:t>
            </w:r>
            <w:r>
              <w:rPr>
                <w:color w:val="000000"/>
              </w:rPr>
              <w:t>holders' equity; financial reporting stakeholders</w:t>
            </w:r>
          </w:p>
        </w:tc>
        <w:tc>
          <w:tcPr>
            <w:tcW w:w="288" w:type="dxa"/>
            <w:shd w:val="clear" w:color="auto" w:fill="auto"/>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7</w:t>
            </w:r>
            <w:r>
              <w:rPr>
                <w:color w:val="000000"/>
              </w:rPr>
              <w:br/>
            </w:r>
            <w:r>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111D94" w:rsidP="00B91A3B">
            <w:pPr>
              <w:pStyle w:val="Gridtext"/>
            </w:pPr>
          </w:p>
        </w:tc>
        <w:tc>
          <w:tcPr>
            <w:tcW w:w="125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Easy</w:t>
            </w:r>
            <w:r>
              <w:rPr>
                <w:color w:val="000000"/>
              </w:rPr>
              <w:br/>
            </w:r>
            <w:r>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5</w:t>
            </w:r>
            <w:r>
              <w:rPr>
                <w:color w:val="000000"/>
              </w:rPr>
              <w:br/>
            </w:r>
            <w:r>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Analytic</w:t>
            </w:r>
            <w:r>
              <w:rPr>
                <w:color w:val="000000"/>
              </w:rPr>
              <w:br/>
            </w:r>
            <w:r>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Reporting</w:t>
            </w:r>
            <w:r>
              <w:rPr>
                <w:color w:val="000000"/>
              </w:rPr>
              <w:br/>
            </w:r>
            <w:r>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Application</w:t>
            </w:r>
            <w:r>
              <w:rPr>
                <w:color w:val="000000"/>
              </w:rPr>
              <w:br/>
            </w:r>
            <w:r>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111D94" w:rsidP="009F5941">
            <w:pPr>
              <w:pStyle w:val="Gridtext"/>
            </w:pPr>
            <w:r w:rsidRPr="000B4B45">
              <w:t>Q1</w:t>
            </w:r>
            <w:r>
              <w:t>-22</w:t>
            </w:r>
            <w:r>
              <w:br/>
            </w:r>
            <w:r>
              <w:br/>
            </w:r>
          </w:p>
        </w:tc>
        <w:tc>
          <w:tcPr>
            <w:tcW w:w="2146" w:type="dxa"/>
            <w:shd w:val="clear" w:color="auto" w:fill="auto"/>
            <w:tcMar>
              <w:top w:w="10" w:type="dxa"/>
              <w:left w:w="10" w:type="dxa"/>
              <w:bottom w:w="0" w:type="dxa"/>
              <w:right w:w="10" w:type="dxa"/>
            </w:tcMar>
            <w:vAlign w:val="bottom"/>
            <w:hideMark/>
          </w:tcPr>
          <w:p w:rsidR="00111D94" w:rsidRDefault="00111D94" w:rsidP="00B91A3B">
            <w:pPr>
              <w:pStyle w:val="Gridtext"/>
              <w:rPr>
                <w:color w:val="000000"/>
              </w:rPr>
            </w:pPr>
            <w:r>
              <w:rPr>
                <w:color w:val="000000"/>
              </w:rPr>
              <w:t>Financial Statements</w:t>
            </w:r>
            <w:r>
              <w:rPr>
                <w:color w:val="000000"/>
              </w:rPr>
              <w:br/>
            </w:r>
            <w:r>
              <w:rPr>
                <w:color w:val="000000"/>
              </w:rPr>
              <w:br/>
            </w:r>
          </w:p>
        </w:tc>
        <w:tc>
          <w:tcPr>
            <w:tcW w:w="2862" w:type="dxa"/>
            <w:shd w:val="clear" w:color="auto" w:fill="auto"/>
            <w:tcMar>
              <w:top w:w="10" w:type="dxa"/>
              <w:left w:w="10" w:type="dxa"/>
              <w:bottom w:w="0" w:type="dxa"/>
              <w:right w:w="10" w:type="dxa"/>
            </w:tcMar>
            <w:vAlign w:val="bottom"/>
            <w:hideMark/>
          </w:tcPr>
          <w:p w:rsidR="00111D94" w:rsidRDefault="00111D94" w:rsidP="00111D94">
            <w:pPr>
              <w:pStyle w:val="Gridtext"/>
              <w:rPr>
                <w:color w:val="000000"/>
              </w:rPr>
            </w:pPr>
            <w:r>
              <w:rPr>
                <w:color w:val="000000"/>
              </w:rPr>
              <w:t>Purpose of footnotes; disclosure of financial information</w:t>
            </w:r>
          </w:p>
        </w:tc>
        <w:tc>
          <w:tcPr>
            <w:tcW w:w="288" w:type="dxa"/>
            <w:shd w:val="clear" w:color="auto" w:fill="auto"/>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7</w:t>
            </w:r>
            <w:r>
              <w:rPr>
                <w:color w:val="000000"/>
              </w:rPr>
              <w:br/>
            </w:r>
            <w:r>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111D94" w:rsidP="00B91A3B">
            <w:pPr>
              <w:pStyle w:val="Gridtext"/>
            </w:pPr>
          </w:p>
        </w:tc>
        <w:tc>
          <w:tcPr>
            <w:tcW w:w="125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Easy</w:t>
            </w:r>
            <w:r>
              <w:rPr>
                <w:color w:val="000000"/>
              </w:rPr>
              <w:br/>
            </w:r>
            <w:r>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5</w:t>
            </w:r>
            <w:r>
              <w:rPr>
                <w:color w:val="000000"/>
              </w:rPr>
              <w:br/>
            </w:r>
            <w:r>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Analytic</w:t>
            </w:r>
            <w:r>
              <w:rPr>
                <w:color w:val="000000"/>
              </w:rPr>
              <w:br/>
            </w:r>
            <w:r>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Reporting</w:t>
            </w:r>
            <w:r>
              <w:rPr>
                <w:color w:val="000000"/>
              </w:rPr>
              <w:br/>
            </w:r>
            <w:r>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Application</w:t>
            </w:r>
            <w:r>
              <w:rPr>
                <w:color w:val="000000"/>
              </w:rPr>
              <w:br/>
            </w:r>
            <w:r>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111D94" w:rsidP="009F5941">
            <w:pPr>
              <w:pStyle w:val="Gridtext"/>
            </w:pPr>
            <w:r w:rsidRPr="000B4B45">
              <w:t>Q1</w:t>
            </w:r>
            <w:r>
              <w:t>-23</w:t>
            </w:r>
            <w:r>
              <w:br/>
            </w:r>
          </w:p>
        </w:tc>
        <w:tc>
          <w:tcPr>
            <w:tcW w:w="2146" w:type="dxa"/>
            <w:shd w:val="clear" w:color="auto" w:fill="auto"/>
            <w:tcMar>
              <w:top w:w="10" w:type="dxa"/>
              <w:left w:w="10" w:type="dxa"/>
              <w:bottom w:w="0" w:type="dxa"/>
              <w:right w:w="10" w:type="dxa"/>
            </w:tcMar>
            <w:vAlign w:val="bottom"/>
            <w:hideMark/>
          </w:tcPr>
          <w:p w:rsidR="00111D94" w:rsidRDefault="00111D94" w:rsidP="00B91A3B">
            <w:pPr>
              <w:pStyle w:val="Gridtext"/>
              <w:rPr>
                <w:color w:val="000000"/>
              </w:rPr>
            </w:pPr>
            <w:r>
              <w:rPr>
                <w:color w:val="000000"/>
              </w:rPr>
              <w:t>Earnings and the Stock Market</w:t>
            </w:r>
          </w:p>
        </w:tc>
        <w:tc>
          <w:tcPr>
            <w:tcW w:w="2862" w:type="dxa"/>
            <w:shd w:val="clear" w:color="auto" w:fill="auto"/>
            <w:tcMar>
              <w:top w:w="10" w:type="dxa"/>
              <w:left w:w="10" w:type="dxa"/>
              <w:bottom w:w="0" w:type="dxa"/>
              <w:right w:w="10" w:type="dxa"/>
            </w:tcMar>
            <w:vAlign w:val="bottom"/>
            <w:hideMark/>
          </w:tcPr>
          <w:p w:rsidR="00111D94" w:rsidRDefault="00111D94" w:rsidP="00111D94">
            <w:pPr>
              <w:pStyle w:val="Gridtext"/>
              <w:rPr>
                <w:color w:val="000000"/>
              </w:rPr>
            </w:pPr>
            <w:r>
              <w:rPr>
                <w:color w:val="000000"/>
              </w:rPr>
              <w:t>Economic consequences of earnings information</w:t>
            </w:r>
          </w:p>
        </w:tc>
        <w:tc>
          <w:tcPr>
            <w:tcW w:w="288" w:type="dxa"/>
            <w:shd w:val="clear" w:color="auto" w:fill="auto"/>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8</w:t>
            </w:r>
            <w:r>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111D94" w:rsidP="00B91A3B">
            <w:pPr>
              <w:pStyle w:val="Gridtext"/>
            </w:pPr>
          </w:p>
        </w:tc>
        <w:tc>
          <w:tcPr>
            <w:tcW w:w="125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Easy</w:t>
            </w:r>
            <w:r>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5</w:t>
            </w:r>
            <w:r>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Analytic</w:t>
            </w:r>
            <w:r>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Measurement</w:t>
            </w:r>
            <w:r>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Analysis</w:t>
            </w:r>
            <w:r>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111D94" w:rsidP="009F5941">
            <w:pPr>
              <w:pStyle w:val="Gridtext"/>
            </w:pPr>
            <w:r w:rsidRPr="000B4B45">
              <w:t>Q1</w:t>
            </w:r>
            <w:r>
              <w:t>-24</w:t>
            </w:r>
          </w:p>
        </w:tc>
        <w:tc>
          <w:tcPr>
            <w:tcW w:w="2146" w:type="dxa"/>
            <w:shd w:val="clear" w:color="auto" w:fill="auto"/>
            <w:tcMar>
              <w:top w:w="10" w:type="dxa"/>
              <w:left w:w="10" w:type="dxa"/>
              <w:bottom w:w="0" w:type="dxa"/>
              <w:right w:w="10" w:type="dxa"/>
            </w:tcMar>
            <w:vAlign w:val="bottom"/>
            <w:hideMark/>
          </w:tcPr>
          <w:p w:rsidR="00111D94" w:rsidRDefault="00111D94" w:rsidP="00B91A3B">
            <w:pPr>
              <w:pStyle w:val="Gridtext"/>
              <w:rPr>
                <w:color w:val="000000"/>
              </w:rPr>
            </w:pPr>
            <w:r>
              <w:rPr>
                <w:color w:val="000000"/>
              </w:rPr>
              <w:t>Ethics</w:t>
            </w:r>
          </w:p>
        </w:tc>
        <w:tc>
          <w:tcPr>
            <w:tcW w:w="2862" w:type="dxa"/>
            <w:shd w:val="clear" w:color="auto" w:fill="auto"/>
            <w:tcMar>
              <w:top w:w="10" w:type="dxa"/>
              <w:left w:w="10" w:type="dxa"/>
              <w:bottom w:w="0" w:type="dxa"/>
              <w:right w:w="10" w:type="dxa"/>
            </w:tcMar>
            <w:vAlign w:val="bottom"/>
            <w:hideMark/>
          </w:tcPr>
          <w:p w:rsidR="00111D94" w:rsidRDefault="00111D94" w:rsidP="009F5941">
            <w:pPr>
              <w:pStyle w:val="Gridtext"/>
              <w:rPr>
                <w:color w:val="000000"/>
              </w:rPr>
            </w:pPr>
            <w:r>
              <w:rPr>
                <w:color w:val="000000"/>
              </w:rPr>
              <w:t>Ethics</w:t>
            </w:r>
          </w:p>
        </w:tc>
        <w:tc>
          <w:tcPr>
            <w:tcW w:w="288" w:type="dxa"/>
            <w:shd w:val="clear" w:color="auto" w:fill="auto"/>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8</w:t>
            </w:r>
          </w:p>
        </w:tc>
        <w:tc>
          <w:tcPr>
            <w:tcW w:w="717" w:type="dxa"/>
            <w:shd w:val="clear" w:color="auto" w:fill="auto"/>
            <w:noWrap/>
            <w:tcMar>
              <w:top w:w="10" w:type="dxa"/>
              <w:left w:w="10" w:type="dxa"/>
              <w:bottom w:w="0" w:type="dxa"/>
              <w:right w:w="10" w:type="dxa"/>
            </w:tcMar>
            <w:vAlign w:val="bottom"/>
            <w:hideMark/>
          </w:tcPr>
          <w:p w:rsidR="00111D94" w:rsidRPr="000B4B45" w:rsidRDefault="00111D94" w:rsidP="00B91A3B">
            <w:pPr>
              <w:pStyle w:val="Gridtext"/>
            </w:pPr>
          </w:p>
        </w:tc>
        <w:tc>
          <w:tcPr>
            <w:tcW w:w="125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Easy</w:t>
            </w:r>
          </w:p>
        </w:tc>
        <w:tc>
          <w:tcPr>
            <w:tcW w:w="431" w:type="dxa"/>
            <w:shd w:val="clear" w:color="auto" w:fill="auto"/>
            <w:noWrap/>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5</w:t>
            </w:r>
          </w:p>
        </w:tc>
        <w:tc>
          <w:tcPr>
            <w:tcW w:w="1288"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Analytic</w:t>
            </w:r>
          </w:p>
        </w:tc>
        <w:tc>
          <w:tcPr>
            <w:tcW w:w="143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Measurement</w:t>
            </w:r>
          </w:p>
        </w:tc>
        <w:tc>
          <w:tcPr>
            <w:tcW w:w="1575"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Application</w:t>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111D94" w:rsidP="009F5941">
            <w:pPr>
              <w:pStyle w:val="Gridtext"/>
            </w:pPr>
            <w:r w:rsidRPr="000B4B45">
              <w:t>Q1</w:t>
            </w:r>
            <w:r>
              <w:t>-25</w:t>
            </w:r>
            <w:r>
              <w:br/>
            </w:r>
          </w:p>
        </w:tc>
        <w:tc>
          <w:tcPr>
            <w:tcW w:w="2146" w:type="dxa"/>
            <w:shd w:val="clear" w:color="auto" w:fill="auto"/>
            <w:tcMar>
              <w:top w:w="10" w:type="dxa"/>
              <w:left w:w="10" w:type="dxa"/>
              <w:bottom w:w="0" w:type="dxa"/>
              <w:right w:w="10" w:type="dxa"/>
            </w:tcMar>
            <w:vAlign w:val="bottom"/>
            <w:hideMark/>
          </w:tcPr>
          <w:p w:rsidR="00111D94" w:rsidRDefault="00111D94" w:rsidP="00B91A3B">
            <w:pPr>
              <w:pStyle w:val="Gridtext"/>
              <w:rPr>
                <w:color w:val="000000"/>
              </w:rPr>
            </w:pPr>
            <w:r>
              <w:rPr>
                <w:color w:val="000000"/>
              </w:rPr>
              <w:t>Ethics</w:t>
            </w:r>
            <w:r>
              <w:rPr>
                <w:color w:val="000000"/>
              </w:rPr>
              <w:br/>
            </w:r>
          </w:p>
        </w:tc>
        <w:tc>
          <w:tcPr>
            <w:tcW w:w="2862" w:type="dxa"/>
            <w:shd w:val="clear" w:color="auto" w:fill="auto"/>
            <w:tcMar>
              <w:top w:w="10" w:type="dxa"/>
              <w:left w:w="10" w:type="dxa"/>
              <w:bottom w:w="0" w:type="dxa"/>
              <w:right w:w="10" w:type="dxa"/>
            </w:tcMar>
            <w:vAlign w:val="bottom"/>
            <w:hideMark/>
          </w:tcPr>
          <w:p w:rsidR="00111D94" w:rsidRDefault="00111D94" w:rsidP="00111D94">
            <w:pPr>
              <w:pStyle w:val="Gridtext"/>
              <w:rPr>
                <w:color w:val="000000"/>
              </w:rPr>
            </w:pPr>
            <w:r>
              <w:rPr>
                <w:color w:val="000000"/>
              </w:rPr>
              <w:t>Ethics; code of professional conduct</w:t>
            </w:r>
          </w:p>
        </w:tc>
        <w:tc>
          <w:tcPr>
            <w:tcW w:w="288" w:type="dxa"/>
            <w:shd w:val="clear" w:color="auto" w:fill="auto"/>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8</w:t>
            </w:r>
            <w:r>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111D94" w:rsidP="00B91A3B">
            <w:pPr>
              <w:pStyle w:val="Gridtext"/>
            </w:pPr>
          </w:p>
        </w:tc>
        <w:tc>
          <w:tcPr>
            <w:tcW w:w="125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Easy</w:t>
            </w:r>
            <w:r>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111D94" w:rsidP="00A415D1">
            <w:pPr>
              <w:pStyle w:val="Gridtext"/>
              <w:jc w:val="center"/>
              <w:rPr>
                <w:color w:val="000000"/>
              </w:rPr>
            </w:pPr>
            <w:r>
              <w:rPr>
                <w:color w:val="000000"/>
              </w:rPr>
              <w:t>5</w:t>
            </w:r>
            <w:r>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Analytic</w:t>
            </w:r>
            <w:r>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Measurement</w:t>
            </w:r>
            <w:r>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111D94" w:rsidP="00B91A3B">
            <w:pPr>
              <w:pStyle w:val="Gridtext"/>
              <w:rPr>
                <w:color w:val="000000"/>
              </w:rPr>
            </w:pPr>
            <w:r>
              <w:rPr>
                <w:color w:val="000000"/>
              </w:rPr>
              <w:t>Comprehension</w:t>
            </w:r>
            <w:r>
              <w:rPr>
                <w:color w:val="000000"/>
              </w:rPr>
              <w:br/>
            </w:r>
          </w:p>
        </w:tc>
      </w:tr>
    </w:tbl>
    <w:p w:rsidR="00004942" w:rsidRDefault="00004942">
      <w:r>
        <w:rPr>
          <w:b/>
          <w:smallCaps/>
        </w:rPr>
        <w:br w:type="page"/>
      </w: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825"/>
        <w:gridCol w:w="2146"/>
        <w:gridCol w:w="2862"/>
        <w:gridCol w:w="288"/>
        <w:gridCol w:w="717"/>
        <w:gridCol w:w="1252"/>
        <w:gridCol w:w="431"/>
        <w:gridCol w:w="1288"/>
        <w:gridCol w:w="1432"/>
        <w:gridCol w:w="1575"/>
      </w:tblGrid>
      <w:tr w:rsidR="00004942" w:rsidRPr="00F06876" w:rsidTr="00892E6D">
        <w:trPr>
          <w:trHeight w:val="300"/>
        </w:trPr>
        <w:tc>
          <w:tcPr>
            <w:tcW w:w="825" w:type="dxa"/>
            <w:shd w:val="clear" w:color="auto" w:fill="auto"/>
            <w:noWrap/>
            <w:tcMar>
              <w:top w:w="10" w:type="dxa"/>
              <w:left w:w="10" w:type="dxa"/>
              <w:bottom w:w="0" w:type="dxa"/>
              <w:right w:w="10" w:type="dxa"/>
            </w:tcMar>
            <w:vAlign w:val="bottom"/>
            <w:hideMark/>
          </w:tcPr>
          <w:p w:rsidR="00004942" w:rsidRPr="00F06876" w:rsidRDefault="00004942" w:rsidP="0012553A">
            <w:pPr>
              <w:pStyle w:val="Gridtextheads"/>
            </w:pPr>
            <w:r w:rsidRPr="00F06876">
              <w:lastRenderedPageBreak/>
              <w:t>Number</w:t>
            </w:r>
          </w:p>
        </w:tc>
        <w:tc>
          <w:tcPr>
            <w:tcW w:w="2146" w:type="dxa"/>
            <w:shd w:val="clear" w:color="auto" w:fill="auto"/>
            <w:tcMar>
              <w:top w:w="10" w:type="dxa"/>
              <w:left w:w="10" w:type="dxa"/>
              <w:bottom w:w="0" w:type="dxa"/>
              <w:right w:w="10" w:type="dxa"/>
            </w:tcMar>
            <w:vAlign w:val="bottom"/>
            <w:hideMark/>
          </w:tcPr>
          <w:p w:rsidR="00004942" w:rsidRPr="00F06876" w:rsidRDefault="00004942" w:rsidP="0012553A">
            <w:pPr>
              <w:pStyle w:val="Gridtextheads"/>
            </w:pPr>
            <w:r w:rsidRPr="00F06876">
              <w:t>Topic</w:t>
            </w:r>
          </w:p>
        </w:tc>
        <w:tc>
          <w:tcPr>
            <w:tcW w:w="2862" w:type="dxa"/>
            <w:shd w:val="clear" w:color="auto" w:fill="auto"/>
            <w:tcMar>
              <w:top w:w="10" w:type="dxa"/>
              <w:left w:w="10" w:type="dxa"/>
              <w:bottom w:w="0" w:type="dxa"/>
              <w:right w:w="10" w:type="dxa"/>
            </w:tcMar>
            <w:vAlign w:val="bottom"/>
            <w:hideMark/>
          </w:tcPr>
          <w:p w:rsidR="00004942" w:rsidRPr="00F06876" w:rsidRDefault="00004942" w:rsidP="0012553A">
            <w:pPr>
              <w:pStyle w:val="Gridtextheads"/>
            </w:pPr>
            <w:r w:rsidRPr="00F06876">
              <w:t>Content</w:t>
            </w:r>
          </w:p>
        </w:tc>
        <w:tc>
          <w:tcPr>
            <w:tcW w:w="288" w:type="dxa"/>
            <w:shd w:val="clear" w:color="auto" w:fill="auto"/>
            <w:tcMar>
              <w:top w:w="10" w:type="dxa"/>
              <w:left w:w="10" w:type="dxa"/>
              <w:bottom w:w="0" w:type="dxa"/>
              <w:right w:w="10" w:type="dxa"/>
            </w:tcMar>
            <w:vAlign w:val="bottom"/>
            <w:hideMark/>
          </w:tcPr>
          <w:p w:rsidR="00004942" w:rsidRPr="00F06876" w:rsidRDefault="00004942" w:rsidP="008D0BB2">
            <w:pPr>
              <w:pStyle w:val="Gridtextheads"/>
            </w:pPr>
            <w:r w:rsidRPr="00F06876">
              <w:t>LO</w:t>
            </w:r>
          </w:p>
        </w:tc>
        <w:tc>
          <w:tcPr>
            <w:tcW w:w="717" w:type="dxa"/>
            <w:shd w:val="clear" w:color="auto" w:fill="auto"/>
            <w:noWrap/>
            <w:tcMar>
              <w:top w:w="10" w:type="dxa"/>
              <w:left w:w="10" w:type="dxa"/>
              <w:bottom w:w="0" w:type="dxa"/>
              <w:right w:w="10" w:type="dxa"/>
            </w:tcMar>
            <w:vAlign w:val="bottom"/>
            <w:hideMark/>
          </w:tcPr>
          <w:p w:rsidR="00004942" w:rsidRPr="00F06876" w:rsidRDefault="00004942" w:rsidP="0012553A">
            <w:pPr>
              <w:pStyle w:val="Gridtextheads"/>
            </w:pPr>
            <w:r w:rsidRPr="00F06876">
              <w:t>Adapted</w:t>
            </w:r>
          </w:p>
        </w:tc>
        <w:tc>
          <w:tcPr>
            <w:tcW w:w="1252" w:type="dxa"/>
            <w:shd w:val="clear" w:color="auto" w:fill="auto"/>
            <w:noWrap/>
            <w:tcMar>
              <w:top w:w="10" w:type="dxa"/>
              <w:left w:w="10" w:type="dxa"/>
              <w:bottom w:w="0" w:type="dxa"/>
              <w:right w:w="10" w:type="dxa"/>
            </w:tcMar>
            <w:vAlign w:val="bottom"/>
            <w:hideMark/>
          </w:tcPr>
          <w:p w:rsidR="00004942" w:rsidRPr="00F06876" w:rsidRDefault="00004942" w:rsidP="0012553A">
            <w:pPr>
              <w:pStyle w:val="Gridtextheads"/>
            </w:pPr>
            <w:r w:rsidRPr="00F06876">
              <w:t>Difficulty</w:t>
            </w:r>
          </w:p>
        </w:tc>
        <w:tc>
          <w:tcPr>
            <w:tcW w:w="431" w:type="dxa"/>
            <w:shd w:val="clear" w:color="auto" w:fill="auto"/>
            <w:noWrap/>
            <w:tcMar>
              <w:top w:w="10" w:type="dxa"/>
              <w:left w:w="10" w:type="dxa"/>
              <w:bottom w:w="0" w:type="dxa"/>
              <w:right w:w="10" w:type="dxa"/>
            </w:tcMar>
            <w:vAlign w:val="bottom"/>
            <w:hideMark/>
          </w:tcPr>
          <w:p w:rsidR="00004942" w:rsidRPr="00F06876" w:rsidRDefault="00004942" w:rsidP="008D0BB2">
            <w:pPr>
              <w:pStyle w:val="Gridtextheads"/>
            </w:pPr>
            <w:r w:rsidRPr="00F06876">
              <w:t>Time</w:t>
            </w:r>
            <w:r>
              <w:br/>
            </w:r>
            <w:r w:rsidRPr="00F06876">
              <w:t>Est</w:t>
            </w:r>
            <w:r>
              <w:t>.</w:t>
            </w:r>
          </w:p>
        </w:tc>
        <w:tc>
          <w:tcPr>
            <w:tcW w:w="1288" w:type="dxa"/>
            <w:shd w:val="clear" w:color="auto" w:fill="auto"/>
            <w:noWrap/>
            <w:tcMar>
              <w:top w:w="10" w:type="dxa"/>
              <w:left w:w="10" w:type="dxa"/>
              <w:bottom w:w="0" w:type="dxa"/>
              <w:right w:w="10" w:type="dxa"/>
            </w:tcMar>
            <w:vAlign w:val="bottom"/>
            <w:hideMark/>
          </w:tcPr>
          <w:p w:rsidR="00004942" w:rsidRPr="00F06876" w:rsidRDefault="00004942" w:rsidP="0012553A">
            <w:pPr>
              <w:pStyle w:val="Gridtextheads"/>
            </w:pPr>
            <w:r w:rsidRPr="00F06876">
              <w:t>AACSB</w:t>
            </w:r>
          </w:p>
        </w:tc>
        <w:tc>
          <w:tcPr>
            <w:tcW w:w="1432" w:type="dxa"/>
            <w:shd w:val="clear" w:color="auto" w:fill="auto"/>
            <w:noWrap/>
            <w:tcMar>
              <w:top w:w="10" w:type="dxa"/>
              <w:left w:w="10" w:type="dxa"/>
              <w:bottom w:w="0" w:type="dxa"/>
              <w:right w:w="10" w:type="dxa"/>
            </w:tcMar>
            <w:vAlign w:val="bottom"/>
            <w:hideMark/>
          </w:tcPr>
          <w:p w:rsidR="00004942" w:rsidRPr="00F06876" w:rsidRDefault="00004942" w:rsidP="0012553A">
            <w:pPr>
              <w:pStyle w:val="Gridtextheads"/>
            </w:pPr>
            <w:r w:rsidRPr="00F06876">
              <w:t>AICPA</w:t>
            </w:r>
          </w:p>
        </w:tc>
        <w:tc>
          <w:tcPr>
            <w:tcW w:w="1575" w:type="dxa"/>
            <w:shd w:val="clear" w:color="auto" w:fill="auto"/>
            <w:noWrap/>
            <w:tcMar>
              <w:top w:w="10" w:type="dxa"/>
              <w:left w:w="10" w:type="dxa"/>
              <w:bottom w:w="0" w:type="dxa"/>
              <w:right w:w="10" w:type="dxa"/>
            </w:tcMar>
            <w:vAlign w:val="bottom"/>
            <w:hideMark/>
          </w:tcPr>
          <w:p w:rsidR="00004942" w:rsidRPr="00F06876" w:rsidRDefault="00004942" w:rsidP="0012553A">
            <w:pPr>
              <w:pStyle w:val="Gridtextheads"/>
            </w:pPr>
            <w:r w:rsidRPr="00F06876">
              <w:t>Bloom’s</w:t>
            </w:r>
          </w:p>
        </w:tc>
      </w:tr>
      <w:tr w:rsidR="00892E6D" w:rsidRPr="000B4B45" w:rsidTr="00892E6D">
        <w:trPr>
          <w:trHeight w:val="300"/>
        </w:trPr>
        <w:tc>
          <w:tcPr>
            <w:tcW w:w="825" w:type="dxa"/>
            <w:shd w:val="clear" w:color="auto" w:fill="auto"/>
            <w:noWrap/>
            <w:tcMar>
              <w:top w:w="10" w:type="dxa"/>
              <w:left w:w="10" w:type="dxa"/>
              <w:bottom w:w="0" w:type="dxa"/>
              <w:right w:w="10" w:type="dxa"/>
            </w:tcMar>
            <w:vAlign w:val="bottom"/>
            <w:hideMark/>
          </w:tcPr>
          <w:p w:rsidR="00892E6D" w:rsidRPr="000B4B45" w:rsidRDefault="00892E6D" w:rsidP="00F24268">
            <w:pPr>
              <w:pStyle w:val="Gridtext"/>
            </w:pPr>
            <w:r>
              <w:t>E1-1</w:t>
            </w:r>
            <w:r>
              <w:br/>
            </w:r>
            <w:r>
              <w:br/>
            </w:r>
          </w:p>
        </w:tc>
        <w:tc>
          <w:tcPr>
            <w:tcW w:w="2146" w:type="dxa"/>
            <w:shd w:val="clear" w:color="auto" w:fill="auto"/>
            <w:tcMar>
              <w:top w:w="10" w:type="dxa"/>
              <w:left w:w="10" w:type="dxa"/>
              <w:bottom w:w="0" w:type="dxa"/>
              <w:right w:w="10" w:type="dxa"/>
            </w:tcMar>
            <w:vAlign w:val="bottom"/>
            <w:hideMark/>
          </w:tcPr>
          <w:p w:rsidR="00892E6D" w:rsidRDefault="00892E6D" w:rsidP="00F24268">
            <w:pPr>
              <w:pStyle w:val="Gridtext"/>
              <w:rPr>
                <w:color w:val="000000"/>
              </w:rPr>
            </w:pPr>
            <w:r>
              <w:rPr>
                <w:color w:val="000000"/>
              </w:rPr>
              <w:t>Pronouncements</w:t>
            </w:r>
            <w:r>
              <w:rPr>
                <w:color w:val="000000"/>
              </w:rPr>
              <w:br/>
            </w:r>
            <w:r>
              <w:rPr>
                <w:color w:val="000000"/>
              </w:rPr>
              <w:br/>
            </w:r>
          </w:p>
        </w:tc>
        <w:tc>
          <w:tcPr>
            <w:tcW w:w="2862" w:type="dxa"/>
            <w:shd w:val="clear" w:color="auto" w:fill="auto"/>
            <w:tcMar>
              <w:top w:w="10" w:type="dxa"/>
              <w:left w:w="10" w:type="dxa"/>
              <w:bottom w:w="0" w:type="dxa"/>
              <w:right w:w="10" w:type="dxa"/>
            </w:tcMar>
            <w:vAlign w:val="bottom"/>
            <w:hideMark/>
          </w:tcPr>
          <w:p w:rsidR="00892E6D" w:rsidRDefault="00892E6D" w:rsidP="00F24268">
            <w:pPr>
              <w:pStyle w:val="Gridtext"/>
              <w:rPr>
                <w:color w:val="000000"/>
              </w:rPr>
            </w:pPr>
            <w:r>
              <w:rPr>
                <w:color w:val="000000"/>
              </w:rPr>
              <w:t>FASB accounting standards codification; different sources of GAAP</w:t>
            </w:r>
          </w:p>
        </w:tc>
        <w:tc>
          <w:tcPr>
            <w:tcW w:w="288" w:type="dxa"/>
            <w:shd w:val="clear" w:color="auto" w:fill="auto"/>
            <w:tcMar>
              <w:top w:w="10" w:type="dxa"/>
              <w:left w:w="10" w:type="dxa"/>
              <w:bottom w:w="0" w:type="dxa"/>
              <w:right w:w="10" w:type="dxa"/>
            </w:tcMar>
            <w:vAlign w:val="bottom"/>
            <w:hideMark/>
          </w:tcPr>
          <w:p w:rsidR="00892E6D" w:rsidRDefault="00892E6D" w:rsidP="00F24268">
            <w:pPr>
              <w:pStyle w:val="Gridtext"/>
              <w:jc w:val="center"/>
              <w:rPr>
                <w:color w:val="000000"/>
              </w:rPr>
            </w:pPr>
            <w:r>
              <w:rPr>
                <w:color w:val="000000"/>
              </w:rPr>
              <w:t>3</w:t>
            </w:r>
            <w:r>
              <w:rPr>
                <w:color w:val="000000"/>
              </w:rPr>
              <w:br/>
            </w:r>
            <w:r>
              <w:rPr>
                <w:color w:val="000000"/>
              </w:rPr>
              <w:br/>
            </w:r>
          </w:p>
        </w:tc>
        <w:tc>
          <w:tcPr>
            <w:tcW w:w="717" w:type="dxa"/>
            <w:shd w:val="clear" w:color="auto" w:fill="auto"/>
            <w:noWrap/>
            <w:tcMar>
              <w:top w:w="10" w:type="dxa"/>
              <w:left w:w="10" w:type="dxa"/>
              <w:bottom w:w="0" w:type="dxa"/>
              <w:right w:w="10" w:type="dxa"/>
            </w:tcMar>
            <w:vAlign w:val="bottom"/>
            <w:hideMark/>
          </w:tcPr>
          <w:p w:rsidR="00892E6D" w:rsidRPr="000B4B45" w:rsidRDefault="00892E6D" w:rsidP="00F24268">
            <w:pPr>
              <w:pStyle w:val="Gridtext"/>
            </w:pPr>
          </w:p>
        </w:tc>
        <w:tc>
          <w:tcPr>
            <w:tcW w:w="1252"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Easy</w:t>
            </w:r>
            <w:r>
              <w:rPr>
                <w:color w:val="000000"/>
              </w:rPr>
              <w:br/>
            </w:r>
            <w:r>
              <w:rPr>
                <w:color w:val="000000"/>
              </w:rPr>
              <w:br/>
            </w:r>
          </w:p>
        </w:tc>
        <w:tc>
          <w:tcPr>
            <w:tcW w:w="431" w:type="dxa"/>
            <w:shd w:val="clear" w:color="auto" w:fill="auto"/>
            <w:noWrap/>
            <w:tcMar>
              <w:top w:w="10" w:type="dxa"/>
              <w:left w:w="10" w:type="dxa"/>
              <w:bottom w:w="0" w:type="dxa"/>
              <w:right w:w="10" w:type="dxa"/>
            </w:tcMar>
            <w:vAlign w:val="bottom"/>
            <w:hideMark/>
          </w:tcPr>
          <w:p w:rsidR="00892E6D" w:rsidRDefault="00892E6D" w:rsidP="00F24268">
            <w:pPr>
              <w:pStyle w:val="Gridtext"/>
              <w:jc w:val="center"/>
              <w:rPr>
                <w:color w:val="000000"/>
              </w:rPr>
            </w:pPr>
            <w:r>
              <w:rPr>
                <w:color w:val="000000"/>
              </w:rPr>
              <w:t>15</w:t>
            </w:r>
            <w:r>
              <w:rPr>
                <w:color w:val="000000"/>
              </w:rPr>
              <w:br/>
            </w:r>
            <w:r>
              <w:rPr>
                <w:color w:val="000000"/>
              </w:rPr>
              <w:br/>
            </w:r>
          </w:p>
        </w:tc>
        <w:tc>
          <w:tcPr>
            <w:tcW w:w="1288"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Analytic</w:t>
            </w:r>
            <w:r>
              <w:rPr>
                <w:color w:val="000000"/>
              </w:rPr>
              <w:br/>
            </w:r>
            <w:r>
              <w:rPr>
                <w:color w:val="000000"/>
              </w:rPr>
              <w:br/>
            </w:r>
          </w:p>
        </w:tc>
        <w:tc>
          <w:tcPr>
            <w:tcW w:w="1432"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Measurement</w:t>
            </w:r>
            <w:r>
              <w:rPr>
                <w:color w:val="000000"/>
              </w:rPr>
              <w:br/>
            </w:r>
            <w:r>
              <w:rPr>
                <w:color w:val="000000"/>
              </w:rPr>
              <w:br/>
            </w:r>
          </w:p>
        </w:tc>
        <w:tc>
          <w:tcPr>
            <w:tcW w:w="1575"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Comprehension</w:t>
            </w:r>
            <w:r>
              <w:rPr>
                <w:color w:val="000000"/>
              </w:rPr>
              <w:br/>
            </w:r>
            <w:r>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E4588E" w:rsidP="009F5941">
            <w:pPr>
              <w:pStyle w:val="Gridtext"/>
            </w:pPr>
            <w:r>
              <w:t>C1-1</w:t>
            </w:r>
            <w:r w:rsidR="00FD0EC2">
              <w:br/>
            </w:r>
            <w:r w:rsidR="00892E6D">
              <w:br/>
            </w:r>
            <w:r w:rsidR="00FD0EC2">
              <w:br/>
            </w:r>
          </w:p>
        </w:tc>
        <w:tc>
          <w:tcPr>
            <w:tcW w:w="2146" w:type="dxa"/>
            <w:shd w:val="clear" w:color="auto" w:fill="auto"/>
            <w:tcMar>
              <w:top w:w="10" w:type="dxa"/>
              <w:left w:w="10" w:type="dxa"/>
              <w:bottom w:w="0" w:type="dxa"/>
              <w:right w:w="10" w:type="dxa"/>
            </w:tcMar>
            <w:vAlign w:val="bottom"/>
            <w:hideMark/>
          </w:tcPr>
          <w:p w:rsidR="00111D94" w:rsidRDefault="00E4588E" w:rsidP="00B91A3B">
            <w:pPr>
              <w:pStyle w:val="Gridtext"/>
              <w:rPr>
                <w:color w:val="000000"/>
              </w:rPr>
            </w:pPr>
            <w:r>
              <w:rPr>
                <w:color w:val="000000"/>
              </w:rPr>
              <w:t>Accounting Principles</w:t>
            </w:r>
            <w:r w:rsidR="00FD0EC2">
              <w:rPr>
                <w:color w:val="000000"/>
              </w:rPr>
              <w:br/>
            </w:r>
            <w:r w:rsidR="00892E6D">
              <w:rPr>
                <w:color w:val="000000"/>
              </w:rPr>
              <w:br/>
            </w:r>
            <w:r w:rsidR="00FD0EC2">
              <w:rPr>
                <w:color w:val="000000"/>
              </w:rPr>
              <w:br/>
            </w:r>
          </w:p>
        </w:tc>
        <w:tc>
          <w:tcPr>
            <w:tcW w:w="2862" w:type="dxa"/>
            <w:shd w:val="clear" w:color="auto" w:fill="auto"/>
            <w:tcMar>
              <w:top w:w="10" w:type="dxa"/>
              <w:left w:w="10" w:type="dxa"/>
              <w:bottom w:w="0" w:type="dxa"/>
              <w:right w:w="10" w:type="dxa"/>
            </w:tcMar>
            <w:vAlign w:val="bottom"/>
            <w:hideMark/>
          </w:tcPr>
          <w:p w:rsidR="00111D94" w:rsidRDefault="00004942" w:rsidP="00004942">
            <w:pPr>
              <w:pStyle w:val="Gridtext"/>
              <w:rPr>
                <w:color w:val="000000"/>
              </w:rPr>
            </w:pPr>
            <w:r>
              <w:rPr>
                <w:color w:val="000000"/>
              </w:rPr>
              <w:t>Describe the meaning of the terms “accounting principles” and “generally accepted”</w:t>
            </w:r>
          </w:p>
        </w:tc>
        <w:tc>
          <w:tcPr>
            <w:tcW w:w="288" w:type="dxa"/>
            <w:shd w:val="clear" w:color="auto" w:fill="auto"/>
            <w:tcMar>
              <w:top w:w="10" w:type="dxa"/>
              <w:left w:w="10" w:type="dxa"/>
              <w:bottom w:w="0" w:type="dxa"/>
              <w:right w:w="10" w:type="dxa"/>
            </w:tcMar>
            <w:vAlign w:val="bottom"/>
            <w:hideMark/>
          </w:tcPr>
          <w:p w:rsidR="00111D94" w:rsidRDefault="0060212E" w:rsidP="0060212E">
            <w:pPr>
              <w:pStyle w:val="Gridtext"/>
              <w:jc w:val="center"/>
              <w:rPr>
                <w:color w:val="000000"/>
              </w:rPr>
            </w:pPr>
            <w:r>
              <w:rPr>
                <w:color w:val="000000"/>
              </w:rPr>
              <w:t>1,4</w:t>
            </w:r>
            <w:r w:rsidR="00FD0EC2">
              <w:rPr>
                <w:color w:val="000000"/>
              </w:rPr>
              <w:br/>
            </w:r>
            <w:r w:rsidR="00892E6D">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004942" w:rsidP="00B91A3B">
            <w:pPr>
              <w:pStyle w:val="Gridtext"/>
            </w:pPr>
            <w:r>
              <w:rPr>
                <w:color w:val="000000"/>
              </w:rPr>
              <w:t>AICPA</w:t>
            </w:r>
            <w:r w:rsidR="00FD0EC2">
              <w:rPr>
                <w:color w:val="000000"/>
              </w:rPr>
              <w:br/>
            </w:r>
            <w:r w:rsidR="00892E6D">
              <w:rPr>
                <w:color w:val="000000"/>
              </w:rPr>
              <w:br/>
            </w:r>
            <w:r w:rsidR="00FD0EC2">
              <w:rPr>
                <w:color w:val="000000"/>
              </w:rPr>
              <w:br/>
            </w:r>
          </w:p>
        </w:tc>
        <w:tc>
          <w:tcPr>
            <w:tcW w:w="125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Easy</w:t>
            </w:r>
            <w:r w:rsidR="00FD0EC2">
              <w:rPr>
                <w:color w:val="000000"/>
              </w:rPr>
              <w:br/>
            </w:r>
            <w:r w:rsidR="00892E6D">
              <w:rPr>
                <w:color w:val="000000"/>
              </w:rPr>
              <w:br/>
            </w:r>
            <w:r w:rsidR="00FD0EC2">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004942" w:rsidP="008D0BB2">
            <w:pPr>
              <w:pStyle w:val="Gridtext"/>
              <w:jc w:val="center"/>
              <w:rPr>
                <w:color w:val="000000"/>
              </w:rPr>
            </w:pPr>
            <w:r>
              <w:rPr>
                <w:color w:val="000000"/>
              </w:rPr>
              <w:t>10</w:t>
            </w:r>
            <w:r w:rsidR="00FD0EC2">
              <w:rPr>
                <w:color w:val="000000"/>
              </w:rPr>
              <w:br/>
            </w:r>
            <w:r w:rsidR="00892E6D">
              <w:rPr>
                <w:color w:val="000000"/>
              </w:rPr>
              <w:br/>
            </w:r>
            <w:r w:rsidR="00FD0EC2">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Analytic</w:t>
            </w:r>
            <w:r w:rsidR="00FD0EC2">
              <w:rPr>
                <w:color w:val="000000"/>
              </w:rPr>
              <w:br/>
            </w:r>
            <w:r w:rsidR="00892E6D">
              <w:rPr>
                <w:color w:val="000000"/>
              </w:rPr>
              <w:br/>
            </w:r>
            <w:r w:rsidR="00FD0EC2">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Measurement</w:t>
            </w:r>
            <w:r w:rsidR="0060212E">
              <w:rPr>
                <w:color w:val="000000"/>
              </w:rPr>
              <w:br/>
            </w:r>
            <w:r w:rsidR="00892E6D">
              <w:rPr>
                <w:color w:val="000000"/>
              </w:rPr>
              <w:br/>
            </w:r>
            <w:r w:rsidR="0060212E">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Application</w:t>
            </w:r>
            <w:r w:rsidR="0060212E">
              <w:rPr>
                <w:color w:val="000000"/>
              </w:rPr>
              <w:br/>
            </w:r>
            <w:r w:rsidR="00892E6D">
              <w:rPr>
                <w:color w:val="000000"/>
              </w:rPr>
              <w:br/>
            </w:r>
            <w:r w:rsidR="0060212E">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E4588E" w:rsidP="009F5941">
            <w:pPr>
              <w:pStyle w:val="Gridtext"/>
            </w:pPr>
            <w:r>
              <w:t>C1-2</w:t>
            </w:r>
            <w:r w:rsidR="00FD0EC2">
              <w:br/>
            </w:r>
            <w:r w:rsidR="00FD0EC2">
              <w:br/>
            </w:r>
            <w:r w:rsidR="00FD0EC2">
              <w:br/>
            </w:r>
          </w:p>
        </w:tc>
        <w:tc>
          <w:tcPr>
            <w:tcW w:w="2146" w:type="dxa"/>
            <w:shd w:val="clear" w:color="auto" w:fill="auto"/>
            <w:tcMar>
              <w:top w:w="10" w:type="dxa"/>
              <w:left w:w="10" w:type="dxa"/>
              <w:bottom w:w="0" w:type="dxa"/>
              <w:right w:w="10" w:type="dxa"/>
            </w:tcMar>
            <w:vAlign w:val="bottom"/>
            <w:hideMark/>
          </w:tcPr>
          <w:p w:rsidR="00111D94" w:rsidRDefault="00E4588E" w:rsidP="00B91A3B">
            <w:pPr>
              <w:pStyle w:val="Gridtext"/>
              <w:rPr>
                <w:color w:val="000000"/>
              </w:rPr>
            </w:pPr>
            <w:r>
              <w:rPr>
                <w:color w:val="000000"/>
              </w:rPr>
              <w:t>Standard Setting</w:t>
            </w:r>
            <w:r w:rsidR="00FD0EC2">
              <w:rPr>
                <w:color w:val="000000"/>
              </w:rPr>
              <w:br/>
            </w:r>
            <w:r w:rsidR="00FD0EC2">
              <w:rPr>
                <w:color w:val="000000"/>
              </w:rPr>
              <w:br/>
            </w:r>
            <w:r w:rsidR="00FD0EC2">
              <w:rPr>
                <w:color w:val="000000"/>
              </w:rPr>
              <w:br/>
            </w:r>
          </w:p>
        </w:tc>
        <w:tc>
          <w:tcPr>
            <w:tcW w:w="2862" w:type="dxa"/>
            <w:shd w:val="clear" w:color="auto" w:fill="auto"/>
            <w:tcMar>
              <w:top w:w="10" w:type="dxa"/>
              <w:left w:w="10" w:type="dxa"/>
              <w:bottom w:w="0" w:type="dxa"/>
              <w:right w:w="10" w:type="dxa"/>
            </w:tcMar>
            <w:vAlign w:val="bottom"/>
            <w:hideMark/>
          </w:tcPr>
          <w:p w:rsidR="00111D94" w:rsidRDefault="00004942" w:rsidP="00111D94">
            <w:pPr>
              <w:pStyle w:val="Gridtext"/>
              <w:rPr>
                <w:color w:val="000000"/>
              </w:rPr>
            </w:pPr>
            <w:r>
              <w:rPr>
                <w:color w:val="000000"/>
              </w:rPr>
              <w:t>Describe why there is political action and social involvement in the standard setting process</w:t>
            </w:r>
          </w:p>
        </w:tc>
        <w:tc>
          <w:tcPr>
            <w:tcW w:w="288" w:type="dxa"/>
            <w:shd w:val="clear" w:color="auto" w:fill="auto"/>
            <w:tcMar>
              <w:top w:w="10" w:type="dxa"/>
              <w:left w:w="10" w:type="dxa"/>
              <w:bottom w:w="0" w:type="dxa"/>
              <w:right w:w="10" w:type="dxa"/>
            </w:tcMar>
            <w:vAlign w:val="bottom"/>
            <w:hideMark/>
          </w:tcPr>
          <w:p w:rsidR="00111D94" w:rsidRDefault="00004942" w:rsidP="008D0BB2">
            <w:pPr>
              <w:pStyle w:val="Gridtext"/>
              <w:jc w:val="center"/>
              <w:rPr>
                <w:color w:val="000000"/>
              </w:rPr>
            </w:pPr>
            <w:r>
              <w:rPr>
                <w:color w:val="000000"/>
              </w:rPr>
              <w:t>3</w:t>
            </w:r>
            <w:r w:rsidR="00FD0EC2">
              <w:rPr>
                <w:color w:val="000000"/>
              </w:rPr>
              <w:br/>
            </w:r>
            <w:r w:rsidR="00FD0EC2">
              <w:rPr>
                <w:color w:val="000000"/>
              </w:rPr>
              <w:br/>
            </w:r>
            <w:r w:rsidR="00FD0EC2">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004942" w:rsidP="00B91A3B">
            <w:pPr>
              <w:pStyle w:val="Gridtext"/>
            </w:pPr>
            <w:r>
              <w:rPr>
                <w:color w:val="000000"/>
              </w:rPr>
              <w:t>CMA</w:t>
            </w:r>
            <w:r w:rsidR="00FD0EC2">
              <w:rPr>
                <w:color w:val="000000"/>
              </w:rPr>
              <w:br/>
            </w:r>
            <w:r w:rsidR="00FD0EC2">
              <w:rPr>
                <w:color w:val="000000"/>
              </w:rPr>
              <w:br/>
            </w:r>
            <w:r w:rsidR="00FD0EC2">
              <w:rPr>
                <w:color w:val="000000"/>
              </w:rPr>
              <w:br/>
            </w:r>
          </w:p>
        </w:tc>
        <w:tc>
          <w:tcPr>
            <w:tcW w:w="125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Easy</w:t>
            </w:r>
            <w:r w:rsidR="00FD0EC2">
              <w:rPr>
                <w:color w:val="000000"/>
              </w:rPr>
              <w:br/>
            </w:r>
            <w:r w:rsidR="00FD0EC2">
              <w:rPr>
                <w:color w:val="000000"/>
              </w:rPr>
              <w:br/>
            </w:r>
            <w:r w:rsidR="00FD0EC2">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004942" w:rsidP="008D0BB2">
            <w:pPr>
              <w:pStyle w:val="Gridtext"/>
              <w:jc w:val="center"/>
              <w:rPr>
                <w:color w:val="000000"/>
              </w:rPr>
            </w:pPr>
            <w:r>
              <w:rPr>
                <w:color w:val="000000"/>
              </w:rPr>
              <w:t>10</w:t>
            </w:r>
            <w:r w:rsidR="00FD0EC2">
              <w:rPr>
                <w:color w:val="000000"/>
              </w:rPr>
              <w:br/>
            </w:r>
            <w:r w:rsidR="00FD0EC2">
              <w:rPr>
                <w:color w:val="000000"/>
              </w:rPr>
              <w:br/>
            </w:r>
            <w:r w:rsidR="00FD0EC2">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Analytic</w:t>
            </w:r>
            <w:r w:rsidR="00FD0EC2">
              <w:rPr>
                <w:color w:val="000000"/>
              </w:rPr>
              <w:br/>
            </w:r>
            <w:r w:rsidR="00FD0EC2">
              <w:rPr>
                <w:color w:val="000000"/>
              </w:rPr>
              <w:br/>
            </w:r>
            <w:r w:rsidR="00FD0EC2">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Measurement</w:t>
            </w:r>
            <w:r w:rsidR="0060212E">
              <w:rPr>
                <w:color w:val="000000"/>
              </w:rPr>
              <w:br/>
            </w:r>
            <w:r w:rsidR="0060212E">
              <w:rPr>
                <w:color w:val="000000"/>
              </w:rPr>
              <w:br/>
            </w:r>
            <w:r w:rsidR="0060212E">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Application</w:t>
            </w:r>
            <w:r w:rsidR="0060212E">
              <w:rPr>
                <w:color w:val="000000"/>
              </w:rPr>
              <w:br/>
            </w:r>
            <w:r w:rsidR="0060212E">
              <w:rPr>
                <w:color w:val="000000"/>
              </w:rPr>
              <w:br/>
            </w:r>
            <w:r w:rsidR="0060212E">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E4588E" w:rsidP="009F5941">
            <w:pPr>
              <w:pStyle w:val="Gridtext"/>
            </w:pPr>
            <w:r>
              <w:t>C1-3</w:t>
            </w:r>
            <w:r w:rsidR="00FD0EC2">
              <w:br/>
            </w:r>
            <w:r w:rsidR="00FD0EC2">
              <w:br/>
            </w:r>
          </w:p>
        </w:tc>
        <w:tc>
          <w:tcPr>
            <w:tcW w:w="2146" w:type="dxa"/>
            <w:shd w:val="clear" w:color="auto" w:fill="auto"/>
            <w:tcMar>
              <w:top w:w="10" w:type="dxa"/>
              <w:left w:w="10" w:type="dxa"/>
              <w:bottom w:w="0" w:type="dxa"/>
              <w:right w:w="10" w:type="dxa"/>
            </w:tcMar>
            <w:vAlign w:val="bottom"/>
            <w:hideMark/>
          </w:tcPr>
          <w:p w:rsidR="00111D94" w:rsidRDefault="00E4588E" w:rsidP="00B91A3B">
            <w:pPr>
              <w:pStyle w:val="Gridtext"/>
              <w:rPr>
                <w:color w:val="000000"/>
              </w:rPr>
            </w:pPr>
            <w:r>
              <w:rPr>
                <w:color w:val="000000"/>
              </w:rPr>
              <w:t>Organization of the FASB</w:t>
            </w:r>
            <w:r w:rsidR="00FD0EC2">
              <w:rPr>
                <w:color w:val="000000"/>
              </w:rPr>
              <w:br/>
            </w:r>
          </w:p>
        </w:tc>
        <w:tc>
          <w:tcPr>
            <w:tcW w:w="2862" w:type="dxa"/>
            <w:shd w:val="clear" w:color="auto" w:fill="auto"/>
            <w:tcMar>
              <w:top w:w="10" w:type="dxa"/>
              <w:left w:w="10" w:type="dxa"/>
              <w:bottom w:w="0" w:type="dxa"/>
              <w:right w:w="10" w:type="dxa"/>
            </w:tcMar>
            <w:vAlign w:val="bottom"/>
            <w:hideMark/>
          </w:tcPr>
          <w:p w:rsidR="00111D94" w:rsidRDefault="00004942" w:rsidP="00111D94">
            <w:pPr>
              <w:pStyle w:val="Gridtext"/>
              <w:rPr>
                <w:color w:val="000000"/>
              </w:rPr>
            </w:pPr>
            <w:r>
              <w:rPr>
                <w:color w:val="000000"/>
              </w:rPr>
              <w:t>Summarize the structure of the FASB and its operating procedures</w:t>
            </w:r>
          </w:p>
        </w:tc>
        <w:tc>
          <w:tcPr>
            <w:tcW w:w="288" w:type="dxa"/>
            <w:shd w:val="clear" w:color="auto" w:fill="auto"/>
            <w:tcMar>
              <w:top w:w="10" w:type="dxa"/>
              <w:left w:w="10" w:type="dxa"/>
              <w:bottom w:w="0" w:type="dxa"/>
              <w:right w:w="10" w:type="dxa"/>
            </w:tcMar>
            <w:vAlign w:val="bottom"/>
            <w:hideMark/>
          </w:tcPr>
          <w:p w:rsidR="00111D94" w:rsidRDefault="00430361" w:rsidP="008D0BB2">
            <w:pPr>
              <w:pStyle w:val="Gridtext"/>
              <w:jc w:val="center"/>
              <w:rPr>
                <w:color w:val="000000"/>
              </w:rPr>
            </w:pPr>
            <w:r>
              <w:rPr>
                <w:color w:val="000000"/>
              </w:rPr>
              <w:t>3</w:t>
            </w:r>
            <w:r w:rsidR="00FD0EC2">
              <w:rPr>
                <w:color w:val="000000"/>
              </w:rPr>
              <w:br/>
            </w:r>
            <w:r w:rsidR="00FD0EC2">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111D94" w:rsidP="00B91A3B">
            <w:pPr>
              <w:pStyle w:val="Gridtext"/>
            </w:pPr>
          </w:p>
        </w:tc>
        <w:tc>
          <w:tcPr>
            <w:tcW w:w="125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Easy</w:t>
            </w:r>
            <w:r w:rsidR="00FD0EC2">
              <w:rPr>
                <w:color w:val="000000"/>
              </w:rPr>
              <w:br/>
            </w:r>
            <w:r w:rsidR="00FD0EC2">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004942" w:rsidP="008D0BB2">
            <w:pPr>
              <w:pStyle w:val="Gridtext"/>
              <w:jc w:val="center"/>
              <w:rPr>
                <w:color w:val="000000"/>
              </w:rPr>
            </w:pPr>
            <w:r>
              <w:rPr>
                <w:color w:val="000000"/>
              </w:rPr>
              <w:t>15</w:t>
            </w:r>
            <w:r w:rsidR="00FD0EC2">
              <w:rPr>
                <w:color w:val="000000"/>
              </w:rPr>
              <w:br/>
            </w:r>
            <w:r w:rsidR="00FD0EC2">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Analytic</w:t>
            </w:r>
            <w:r w:rsidR="00FD0EC2">
              <w:rPr>
                <w:color w:val="000000"/>
              </w:rPr>
              <w:br/>
            </w:r>
            <w:r w:rsidR="00FD0EC2">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Measurement</w:t>
            </w:r>
            <w:r w:rsidR="0060212E">
              <w:rPr>
                <w:color w:val="000000"/>
              </w:rPr>
              <w:br/>
            </w:r>
            <w:r w:rsidR="0060212E">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Application</w:t>
            </w:r>
            <w:r w:rsidR="0060212E">
              <w:rPr>
                <w:color w:val="000000"/>
              </w:rPr>
              <w:br/>
            </w:r>
            <w:r w:rsidR="0060212E">
              <w:rPr>
                <w:color w:val="000000"/>
              </w:rPr>
              <w:br/>
            </w:r>
          </w:p>
        </w:tc>
      </w:tr>
      <w:tr w:rsidR="00111D94" w:rsidRPr="000B4B45" w:rsidTr="00892E6D">
        <w:trPr>
          <w:trHeight w:val="300"/>
        </w:trPr>
        <w:tc>
          <w:tcPr>
            <w:tcW w:w="825" w:type="dxa"/>
            <w:shd w:val="clear" w:color="auto" w:fill="auto"/>
            <w:noWrap/>
            <w:tcMar>
              <w:top w:w="10" w:type="dxa"/>
              <w:left w:w="10" w:type="dxa"/>
              <w:bottom w:w="0" w:type="dxa"/>
              <w:right w:w="10" w:type="dxa"/>
            </w:tcMar>
            <w:vAlign w:val="bottom"/>
            <w:hideMark/>
          </w:tcPr>
          <w:p w:rsidR="00111D94" w:rsidRPr="000B4B45" w:rsidRDefault="00E4588E" w:rsidP="009F5941">
            <w:pPr>
              <w:pStyle w:val="Gridtext"/>
            </w:pPr>
            <w:r>
              <w:t>C1-4</w:t>
            </w:r>
            <w:r w:rsidR="00FD0EC2">
              <w:br/>
            </w:r>
            <w:r w:rsidR="00FD0EC2">
              <w:br/>
            </w:r>
          </w:p>
        </w:tc>
        <w:tc>
          <w:tcPr>
            <w:tcW w:w="2146" w:type="dxa"/>
            <w:shd w:val="clear" w:color="auto" w:fill="auto"/>
            <w:tcMar>
              <w:top w:w="10" w:type="dxa"/>
              <w:left w:w="10" w:type="dxa"/>
              <w:bottom w:w="0" w:type="dxa"/>
              <w:right w:w="10" w:type="dxa"/>
            </w:tcMar>
            <w:vAlign w:val="bottom"/>
            <w:hideMark/>
          </w:tcPr>
          <w:p w:rsidR="00111D94" w:rsidRDefault="00004942" w:rsidP="00B91A3B">
            <w:pPr>
              <w:pStyle w:val="Gridtext"/>
              <w:rPr>
                <w:color w:val="000000"/>
              </w:rPr>
            </w:pPr>
            <w:r>
              <w:rPr>
                <w:color w:val="000000"/>
              </w:rPr>
              <w:t>Code of Professional Conduct</w:t>
            </w:r>
            <w:r w:rsidR="00FD0EC2">
              <w:rPr>
                <w:color w:val="000000"/>
              </w:rPr>
              <w:br/>
            </w:r>
          </w:p>
        </w:tc>
        <w:tc>
          <w:tcPr>
            <w:tcW w:w="2862" w:type="dxa"/>
            <w:shd w:val="clear" w:color="auto" w:fill="auto"/>
            <w:tcMar>
              <w:top w:w="10" w:type="dxa"/>
              <w:left w:w="10" w:type="dxa"/>
              <w:bottom w:w="0" w:type="dxa"/>
              <w:right w:w="10" w:type="dxa"/>
            </w:tcMar>
            <w:vAlign w:val="bottom"/>
            <w:hideMark/>
          </w:tcPr>
          <w:p w:rsidR="00111D94" w:rsidRDefault="00004942" w:rsidP="00111D94">
            <w:pPr>
              <w:pStyle w:val="Gridtext"/>
              <w:rPr>
                <w:color w:val="000000"/>
              </w:rPr>
            </w:pPr>
            <w:r>
              <w:rPr>
                <w:color w:val="000000"/>
              </w:rPr>
              <w:t>Identify, briefly discuss, and provide examples to illustrate the first five principles of CPC</w:t>
            </w:r>
          </w:p>
        </w:tc>
        <w:tc>
          <w:tcPr>
            <w:tcW w:w="288" w:type="dxa"/>
            <w:shd w:val="clear" w:color="auto" w:fill="auto"/>
            <w:tcMar>
              <w:top w:w="10" w:type="dxa"/>
              <w:left w:w="10" w:type="dxa"/>
              <w:bottom w:w="0" w:type="dxa"/>
              <w:right w:w="10" w:type="dxa"/>
            </w:tcMar>
            <w:vAlign w:val="bottom"/>
            <w:hideMark/>
          </w:tcPr>
          <w:p w:rsidR="00111D94" w:rsidRDefault="00430361" w:rsidP="008D0BB2">
            <w:pPr>
              <w:pStyle w:val="Gridtext"/>
              <w:jc w:val="center"/>
              <w:rPr>
                <w:color w:val="000000"/>
              </w:rPr>
            </w:pPr>
            <w:r>
              <w:rPr>
                <w:color w:val="000000"/>
              </w:rPr>
              <w:t>8</w:t>
            </w:r>
            <w:r w:rsidR="00FD0EC2">
              <w:rPr>
                <w:color w:val="000000"/>
              </w:rPr>
              <w:br/>
            </w:r>
            <w:r w:rsidR="00FD0EC2">
              <w:rPr>
                <w:color w:val="000000"/>
              </w:rPr>
              <w:br/>
            </w:r>
          </w:p>
        </w:tc>
        <w:tc>
          <w:tcPr>
            <w:tcW w:w="717" w:type="dxa"/>
            <w:shd w:val="clear" w:color="auto" w:fill="auto"/>
            <w:noWrap/>
            <w:tcMar>
              <w:top w:w="10" w:type="dxa"/>
              <w:left w:w="10" w:type="dxa"/>
              <w:bottom w:w="0" w:type="dxa"/>
              <w:right w:w="10" w:type="dxa"/>
            </w:tcMar>
            <w:vAlign w:val="bottom"/>
            <w:hideMark/>
          </w:tcPr>
          <w:p w:rsidR="00111D94" w:rsidRPr="000B4B45" w:rsidRDefault="00111D94" w:rsidP="00B91A3B">
            <w:pPr>
              <w:pStyle w:val="Gridtext"/>
            </w:pPr>
          </w:p>
        </w:tc>
        <w:tc>
          <w:tcPr>
            <w:tcW w:w="125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Easy</w:t>
            </w:r>
            <w:r w:rsidR="00FD0EC2">
              <w:rPr>
                <w:color w:val="000000"/>
              </w:rPr>
              <w:br/>
            </w:r>
            <w:r w:rsidR="00FD0EC2">
              <w:rPr>
                <w:color w:val="000000"/>
              </w:rPr>
              <w:br/>
            </w:r>
          </w:p>
        </w:tc>
        <w:tc>
          <w:tcPr>
            <w:tcW w:w="431" w:type="dxa"/>
            <w:shd w:val="clear" w:color="auto" w:fill="auto"/>
            <w:noWrap/>
            <w:tcMar>
              <w:top w:w="10" w:type="dxa"/>
              <w:left w:w="10" w:type="dxa"/>
              <w:bottom w:w="0" w:type="dxa"/>
              <w:right w:w="10" w:type="dxa"/>
            </w:tcMar>
            <w:vAlign w:val="bottom"/>
            <w:hideMark/>
          </w:tcPr>
          <w:p w:rsidR="00111D94" w:rsidRDefault="00004942" w:rsidP="008D0BB2">
            <w:pPr>
              <w:pStyle w:val="Gridtext"/>
              <w:jc w:val="center"/>
              <w:rPr>
                <w:color w:val="000000"/>
              </w:rPr>
            </w:pPr>
            <w:r>
              <w:rPr>
                <w:color w:val="000000"/>
              </w:rPr>
              <w:t>10</w:t>
            </w:r>
            <w:r w:rsidR="00FD0EC2">
              <w:rPr>
                <w:color w:val="000000"/>
              </w:rPr>
              <w:br/>
            </w:r>
            <w:r w:rsidR="00FD0EC2">
              <w:rPr>
                <w:color w:val="000000"/>
              </w:rPr>
              <w:br/>
            </w:r>
          </w:p>
        </w:tc>
        <w:tc>
          <w:tcPr>
            <w:tcW w:w="1288"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Analytic</w:t>
            </w:r>
            <w:r w:rsidR="00FD0EC2">
              <w:rPr>
                <w:color w:val="000000"/>
              </w:rPr>
              <w:br/>
            </w:r>
            <w:r w:rsidR="00FD0EC2">
              <w:rPr>
                <w:color w:val="000000"/>
              </w:rPr>
              <w:br/>
            </w:r>
          </w:p>
        </w:tc>
        <w:tc>
          <w:tcPr>
            <w:tcW w:w="1432"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Measurement</w:t>
            </w:r>
            <w:r w:rsidR="0060212E">
              <w:rPr>
                <w:color w:val="000000"/>
              </w:rPr>
              <w:br/>
            </w:r>
            <w:r w:rsidR="0060212E">
              <w:rPr>
                <w:color w:val="000000"/>
              </w:rPr>
              <w:br/>
            </w:r>
          </w:p>
        </w:tc>
        <w:tc>
          <w:tcPr>
            <w:tcW w:w="1575" w:type="dxa"/>
            <w:shd w:val="clear" w:color="auto" w:fill="auto"/>
            <w:noWrap/>
            <w:tcMar>
              <w:top w:w="10" w:type="dxa"/>
              <w:left w:w="10" w:type="dxa"/>
              <w:bottom w:w="0" w:type="dxa"/>
              <w:right w:w="10" w:type="dxa"/>
            </w:tcMar>
            <w:vAlign w:val="bottom"/>
            <w:hideMark/>
          </w:tcPr>
          <w:p w:rsidR="00111D94" w:rsidRDefault="00004942" w:rsidP="00B91A3B">
            <w:pPr>
              <w:pStyle w:val="Gridtext"/>
              <w:rPr>
                <w:color w:val="000000"/>
              </w:rPr>
            </w:pPr>
            <w:r>
              <w:rPr>
                <w:color w:val="000000"/>
              </w:rPr>
              <w:t>Application</w:t>
            </w:r>
            <w:r w:rsidR="0060212E">
              <w:rPr>
                <w:color w:val="000000"/>
              </w:rPr>
              <w:br/>
            </w:r>
            <w:r w:rsidR="0060212E">
              <w:rPr>
                <w:color w:val="000000"/>
              </w:rPr>
              <w:br/>
            </w:r>
          </w:p>
        </w:tc>
      </w:tr>
      <w:tr w:rsidR="00004942" w:rsidRPr="000B4B45" w:rsidTr="00892E6D">
        <w:trPr>
          <w:trHeight w:val="300"/>
        </w:trPr>
        <w:tc>
          <w:tcPr>
            <w:tcW w:w="825" w:type="dxa"/>
            <w:shd w:val="clear" w:color="auto" w:fill="auto"/>
            <w:noWrap/>
            <w:tcMar>
              <w:top w:w="10" w:type="dxa"/>
              <w:left w:w="10" w:type="dxa"/>
              <w:bottom w:w="0" w:type="dxa"/>
              <w:right w:w="10" w:type="dxa"/>
            </w:tcMar>
            <w:vAlign w:val="bottom"/>
            <w:hideMark/>
          </w:tcPr>
          <w:p w:rsidR="00004942" w:rsidRDefault="00004942" w:rsidP="00004942">
            <w:pPr>
              <w:pStyle w:val="Gridtext"/>
            </w:pPr>
            <w:r>
              <w:t>C1-5</w:t>
            </w:r>
            <w:r w:rsidR="00FD0EC2">
              <w:br/>
            </w:r>
            <w:r w:rsidR="00FD0EC2">
              <w:br/>
            </w:r>
          </w:p>
        </w:tc>
        <w:tc>
          <w:tcPr>
            <w:tcW w:w="2146" w:type="dxa"/>
            <w:shd w:val="clear" w:color="auto" w:fill="auto"/>
            <w:tcMar>
              <w:top w:w="10" w:type="dxa"/>
              <w:left w:w="10" w:type="dxa"/>
              <w:bottom w:w="0" w:type="dxa"/>
              <w:right w:w="10" w:type="dxa"/>
            </w:tcMar>
            <w:vAlign w:val="bottom"/>
            <w:hideMark/>
          </w:tcPr>
          <w:p w:rsidR="00004942" w:rsidRDefault="00004942" w:rsidP="00B91A3B">
            <w:pPr>
              <w:pStyle w:val="Gridtext"/>
              <w:rPr>
                <w:color w:val="000000"/>
              </w:rPr>
            </w:pPr>
            <w:r>
              <w:rPr>
                <w:color w:val="000000"/>
              </w:rPr>
              <w:t>Lobbying the FASB</w:t>
            </w:r>
            <w:r w:rsidR="00FD0EC2">
              <w:rPr>
                <w:color w:val="000000"/>
              </w:rPr>
              <w:br/>
            </w:r>
            <w:r w:rsidR="00FD0EC2">
              <w:rPr>
                <w:color w:val="000000"/>
              </w:rPr>
              <w:br/>
            </w:r>
          </w:p>
        </w:tc>
        <w:tc>
          <w:tcPr>
            <w:tcW w:w="2862" w:type="dxa"/>
            <w:shd w:val="clear" w:color="auto" w:fill="auto"/>
            <w:tcMar>
              <w:top w:w="10" w:type="dxa"/>
              <w:left w:w="10" w:type="dxa"/>
              <w:bottom w:w="0" w:type="dxa"/>
              <w:right w:w="10" w:type="dxa"/>
            </w:tcMar>
            <w:vAlign w:val="bottom"/>
            <w:hideMark/>
          </w:tcPr>
          <w:p w:rsidR="00004942" w:rsidRDefault="00004942" w:rsidP="00111D94">
            <w:pPr>
              <w:pStyle w:val="Gridtext"/>
              <w:rPr>
                <w:color w:val="000000"/>
              </w:rPr>
            </w:pPr>
            <w:r>
              <w:rPr>
                <w:color w:val="000000"/>
              </w:rPr>
              <w:t>Discuss pros and cons of lobbying FASB by interested parties</w:t>
            </w:r>
          </w:p>
        </w:tc>
        <w:tc>
          <w:tcPr>
            <w:tcW w:w="288" w:type="dxa"/>
            <w:shd w:val="clear" w:color="auto" w:fill="auto"/>
            <w:tcMar>
              <w:top w:w="10" w:type="dxa"/>
              <w:left w:w="10" w:type="dxa"/>
              <w:bottom w:w="0" w:type="dxa"/>
              <w:right w:w="10" w:type="dxa"/>
            </w:tcMar>
            <w:vAlign w:val="bottom"/>
            <w:hideMark/>
          </w:tcPr>
          <w:p w:rsidR="00004942" w:rsidRDefault="00430361" w:rsidP="008D0BB2">
            <w:pPr>
              <w:pStyle w:val="Gridtext"/>
              <w:jc w:val="center"/>
              <w:rPr>
                <w:color w:val="000000"/>
              </w:rPr>
            </w:pPr>
            <w:r>
              <w:rPr>
                <w:color w:val="000000"/>
              </w:rPr>
              <w:t>3</w:t>
            </w:r>
            <w:r w:rsidR="00FD0EC2">
              <w:rPr>
                <w:color w:val="000000"/>
              </w:rPr>
              <w:br/>
            </w:r>
            <w:r w:rsidR="00FD0EC2">
              <w:rPr>
                <w:color w:val="000000"/>
              </w:rPr>
              <w:br/>
            </w:r>
          </w:p>
        </w:tc>
        <w:tc>
          <w:tcPr>
            <w:tcW w:w="717" w:type="dxa"/>
            <w:shd w:val="clear" w:color="auto" w:fill="auto"/>
            <w:noWrap/>
            <w:tcMar>
              <w:top w:w="10" w:type="dxa"/>
              <w:left w:w="10" w:type="dxa"/>
              <w:bottom w:w="0" w:type="dxa"/>
              <w:right w:w="10" w:type="dxa"/>
            </w:tcMar>
            <w:vAlign w:val="bottom"/>
            <w:hideMark/>
          </w:tcPr>
          <w:p w:rsidR="00004942" w:rsidRPr="000B4B45" w:rsidRDefault="00004942" w:rsidP="00B91A3B">
            <w:pPr>
              <w:pStyle w:val="Gridtext"/>
            </w:pPr>
          </w:p>
        </w:tc>
        <w:tc>
          <w:tcPr>
            <w:tcW w:w="1252" w:type="dxa"/>
            <w:shd w:val="clear" w:color="auto" w:fill="auto"/>
            <w:noWrap/>
            <w:tcMar>
              <w:top w:w="10" w:type="dxa"/>
              <w:left w:w="10" w:type="dxa"/>
              <w:bottom w:w="0" w:type="dxa"/>
              <w:right w:w="10" w:type="dxa"/>
            </w:tcMar>
            <w:vAlign w:val="bottom"/>
            <w:hideMark/>
          </w:tcPr>
          <w:p w:rsidR="00004942" w:rsidRDefault="00004942" w:rsidP="00B91A3B">
            <w:pPr>
              <w:pStyle w:val="Gridtext"/>
              <w:rPr>
                <w:color w:val="000000"/>
              </w:rPr>
            </w:pPr>
            <w:r>
              <w:rPr>
                <w:color w:val="000000"/>
              </w:rPr>
              <w:t>Easy</w:t>
            </w:r>
            <w:r w:rsidR="00FD0EC2">
              <w:rPr>
                <w:color w:val="000000"/>
              </w:rPr>
              <w:br/>
            </w:r>
            <w:r w:rsidR="00FD0EC2">
              <w:rPr>
                <w:color w:val="000000"/>
              </w:rPr>
              <w:br/>
            </w:r>
          </w:p>
        </w:tc>
        <w:tc>
          <w:tcPr>
            <w:tcW w:w="431" w:type="dxa"/>
            <w:shd w:val="clear" w:color="auto" w:fill="auto"/>
            <w:noWrap/>
            <w:tcMar>
              <w:top w:w="10" w:type="dxa"/>
              <w:left w:w="10" w:type="dxa"/>
              <w:bottom w:w="0" w:type="dxa"/>
              <w:right w:w="10" w:type="dxa"/>
            </w:tcMar>
            <w:vAlign w:val="bottom"/>
            <w:hideMark/>
          </w:tcPr>
          <w:p w:rsidR="00004942" w:rsidRDefault="00004942" w:rsidP="008D0BB2">
            <w:pPr>
              <w:pStyle w:val="Gridtext"/>
              <w:jc w:val="center"/>
              <w:rPr>
                <w:color w:val="000000"/>
              </w:rPr>
            </w:pPr>
            <w:r>
              <w:rPr>
                <w:color w:val="000000"/>
              </w:rPr>
              <w:t>5</w:t>
            </w:r>
            <w:r w:rsidR="00FD0EC2">
              <w:rPr>
                <w:color w:val="000000"/>
              </w:rPr>
              <w:br/>
            </w:r>
            <w:r w:rsidR="00FD0EC2">
              <w:rPr>
                <w:color w:val="000000"/>
              </w:rPr>
              <w:br/>
            </w:r>
          </w:p>
        </w:tc>
        <w:tc>
          <w:tcPr>
            <w:tcW w:w="1288" w:type="dxa"/>
            <w:shd w:val="clear" w:color="auto" w:fill="auto"/>
            <w:noWrap/>
            <w:tcMar>
              <w:top w:w="10" w:type="dxa"/>
              <w:left w:w="10" w:type="dxa"/>
              <w:bottom w:w="0" w:type="dxa"/>
              <w:right w:w="10" w:type="dxa"/>
            </w:tcMar>
            <w:vAlign w:val="bottom"/>
            <w:hideMark/>
          </w:tcPr>
          <w:p w:rsidR="00004942" w:rsidRDefault="00004942" w:rsidP="00B91A3B">
            <w:pPr>
              <w:pStyle w:val="Gridtext"/>
              <w:rPr>
                <w:color w:val="000000"/>
              </w:rPr>
            </w:pPr>
            <w:r>
              <w:rPr>
                <w:color w:val="000000"/>
              </w:rPr>
              <w:t>Analytic</w:t>
            </w:r>
            <w:r w:rsidR="00FD0EC2">
              <w:rPr>
                <w:color w:val="000000"/>
              </w:rPr>
              <w:br/>
            </w:r>
            <w:r w:rsidR="00FD0EC2">
              <w:rPr>
                <w:color w:val="000000"/>
              </w:rPr>
              <w:br/>
            </w:r>
          </w:p>
        </w:tc>
        <w:tc>
          <w:tcPr>
            <w:tcW w:w="1432" w:type="dxa"/>
            <w:shd w:val="clear" w:color="auto" w:fill="auto"/>
            <w:noWrap/>
            <w:tcMar>
              <w:top w:w="10" w:type="dxa"/>
              <w:left w:w="10" w:type="dxa"/>
              <w:bottom w:w="0" w:type="dxa"/>
              <w:right w:w="10" w:type="dxa"/>
            </w:tcMar>
            <w:vAlign w:val="bottom"/>
            <w:hideMark/>
          </w:tcPr>
          <w:p w:rsidR="00004942" w:rsidRDefault="00004942" w:rsidP="00B91A3B">
            <w:pPr>
              <w:pStyle w:val="Gridtext"/>
              <w:rPr>
                <w:color w:val="000000"/>
              </w:rPr>
            </w:pPr>
            <w:r>
              <w:rPr>
                <w:color w:val="000000"/>
              </w:rPr>
              <w:t>Measurement</w:t>
            </w:r>
            <w:r w:rsidR="0060212E">
              <w:rPr>
                <w:color w:val="000000"/>
              </w:rPr>
              <w:br/>
            </w:r>
            <w:r w:rsidR="0060212E">
              <w:rPr>
                <w:color w:val="000000"/>
              </w:rPr>
              <w:br/>
            </w:r>
          </w:p>
        </w:tc>
        <w:tc>
          <w:tcPr>
            <w:tcW w:w="1575" w:type="dxa"/>
            <w:shd w:val="clear" w:color="auto" w:fill="auto"/>
            <w:noWrap/>
            <w:tcMar>
              <w:top w:w="10" w:type="dxa"/>
              <w:left w:w="10" w:type="dxa"/>
              <w:bottom w:w="0" w:type="dxa"/>
              <w:right w:w="10" w:type="dxa"/>
            </w:tcMar>
            <w:vAlign w:val="bottom"/>
            <w:hideMark/>
          </w:tcPr>
          <w:p w:rsidR="00004942" w:rsidRDefault="00004942" w:rsidP="00B91A3B">
            <w:pPr>
              <w:pStyle w:val="Gridtext"/>
              <w:rPr>
                <w:color w:val="000000"/>
              </w:rPr>
            </w:pPr>
            <w:r>
              <w:rPr>
                <w:color w:val="000000"/>
              </w:rPr>
              <w:t>Application</w:t>
            </w:r>
            <w:r w:rsidR="0060212E">
              <w:rPr>
                <w:color w:val="000000"/>
              </w:rPr>
              <w:br/>
            </w:r>
            <w:r w:rsidR="0060212E">
              <w:rPr>
                <w:color w:val="000000"/>
              </w:rPr>
              <w:br/>
            </w:r>
          </w:p>
        </w:tc>
      </w:tr>
      <w:tr w:rsidR="00FD0EC2" w:rsidRPr="000B4B45" w:rsidTr="00892E6D">
        <w:trPr>
          <w:trHeight w:val="300"/>
        </w:trPr>
        <w:tc>
          <w:tcPr>
            <w:tcW w:w="825" w:type="dxa"/>
            <w:shd w:val="clear" w:color="auto" w:fill="auto"/>
            <w:noWrap/>
            <w:tcMar>
              <w:top w:w="10" w:type="dxa"/>
              <w:left w:w="10" w:type="dxa"/>
              <w:bottom w:w="0" w:type="dxa"/>
              <w:right w:w="10" w:type="dxa"/>
            </w:tcMar>
            <w:vAlign w:val="bottom"/>
            <w:hideMark/>
          </w:tcPr>
          <w:p w:rsidR="00FD0EC2" w:rsidRDefault="009A0434" w:rsidP="00004942">
            <w:pPr>
              <w:pStyle w:val="Gridtext"/>
            </w:pPr>
            <w:r>
              <w:t>C1-6</w:t>
            </w:r>
            <w:r>
              <w:br/>
            </w:r>
            <w:r>
              <w:br/>
            </w:r>
            <w:r>
              <w:br/>
            </w:r>
            <w:r>
              <w:br/>
            </w:r>
            <w:r>
              <w:br/>
            </w:r>
          </w:p>
        </w:tc>
        <w:tc>
          <w:tcPr>
            <w:tcW w:w="2146" w:type="dxa"/>
            <w:shd w:val="clear" w:color="auto" w:fill="auto"/>
            <w:tcMar>
              <w:top w:w="10" w:type="dxa"/>
              <w:left w:w="10" w:type="dxa"/>
              <w:bottom w:w="0" w:type="dxa"/>
              <w:right w:w="10" w:type="dxa"/>
            </w:tcMar>
            <w:vAlign w:val="bottom"/>
            <w:hideMark/>
          </w:tcPr>
          <w:p w:rsidR="00FD0EC2" w:rsidRDefault="009A0434" w:rsidP="00B91A3B">
            <w:pPr>
              <w:pStyle w:val="Gridtext"/>
              <w:rPr>
                <w:color w:val="000000"/>
              </w:rPr>
            </w:pPr>
            <w:r>
              <w:rPr>
                <w:color w:val="000000"/>
              </w:rPr>
              <w:t>International Convergence</w:t>
            </w:r>
            <w:r>
              <w:rPr>
                <w:color w:val="000000"/>
              </w:rPr>
              <w:br/>
            </w:r>
            <w:r>
              <w:rPr>
                <w:color w:val="000000"/>
              </w:rPr>
              <w:br/>
            </w:r>
            <w:r>
              <w:rPr>
                <w:color w:val="000000"/>
              </w:rPr>
              <w:br/>
            </w:r>
            <w:r>
              <w:rPr>
                <w:color w:val="000000"/>
              </w:rPr>
              <w:br/>
            </w:r>
          </w:p>
        </w:tc>
        <w:tc>
          <w:tcPr>
            <w:tcW w:w="2862" w:type="dxa"/>
            <w:shd w:val="clear" w:color="auto" w:fill="auto"/>
            <w:tcMar>
              <w:top w:w="10" w:type="dxa"/>
              <w:left w:w="10" w:type="dxa"/>
              <w:bottom w:w="0" w:type="dxa"/>
              <w:right w:w="10" w:type="dxa"/>
            </w:tcMar>
            <w:vAlign w:val="bottom"/>
            <w:hideMark/>
          </w:tcPr>
          <w:p w:rsidR="00FD0EC2" w:rsidRDefault="009A0434" w:rsidP="00430361">
            <w:pPr>
              <w:pStyle w:val="Gridtext"/>
              <w:rPr>
                <w:color w:val="000000"/>
              </w:rPr>
            </w:pPr>
            <w:r>
              <w:rPr>
                <w:color w:val="000000"/>
              </w:rPr>
              <w:t xml:space="preserve">Discuss convergence of U.S. GAAP and international accounting standards; </w:t>
            </w:r>
            <w:r w:rsidR="00430361">
              <w:rPr>
                <w:color w:val="000000"/>
              </w:rPr>
              <w:t>i</w:t>
            </w:r>
            <w:r>
              <w:rPr>
                <w:color w:val="000000"/>
              </w:rPr>
              <w:t>nclude discussion of SEC and its role in this convergence; Includes IFRS</w:t>
            </w:r>
          </w:p>
        </w:tc>
        <w:tc>
          <w:tcPr>
            <w:tcW w:w="288" w:type="dxa"/>
            <w:shd w:val="clear" w:color="auto" w:fill="auto"/>
            <w:tcMar>
              <w:top w:w="10" w:type="dxa"/>
              <w:left w:w="10" w:type="dxa"/>
              <w:bottom w:w="0" w:type="dxa"/>
              <w:right w:w="10" w:type="dxa"/>
            </w:tcMar>
            <w:vAlign w:val="bottom"/>
            <w:hideMark/>
          </w:tcPr>
          <w:p w:rsidR="00FD0EC2" w:rsidRDefault="00430361" w:rsidP="008D0BB2">
            <w:pPr>
              <w:pStyle w:val="Gridtext"/>
              <w:jc w:val="center"/>
              <w:rPr>
                <w:color w:val="000000"/>
              </w:rPr>
            </w:pPr>
            <w:r>
              <w:rPr>
                <w:color w:val="000000"/>
              </w:rPr>
              <w:t>6</w:t>
            </w:r>
            <w:r w:rsidR="00773A5B">
              <w:rPr>
                <w:color w:val="000000"/>
              </w:rPr>
              <w:br/>
            </w:r>
            <w:r w:rsidR="00773A5B">
              <w:rPr>
                <w:color w:val="000000"/>
              </w:rPr>
              <w:br/>
            </w:r>
            <w:r w:rsidR="00773A5B">
              <w:rPr>
                <w:color w:val="000000"/>
              </w:rPr>
              <w:br/>
            </w:r>
            <w:r w:rsidR="00773A5B">
              <w:rPr>
                <w:color w:val="000000"/>
              </w:rPr>
              <w:br/>
            </w:r>
            <w:r w:rsidR="00773A5B">
              <w:rPr>
                <w:color w:val="000000"/>
              </w:rPr>
              <w:br/>
            </w:r>
          </w:p>
        </w:tc>
        <w:tc>
          <w:tcPr>
            <w:tcW w:w="717" w:type="dxa"/>
            <w:shd w:val="clear" w:color="auto" w:fill="auto"/>
            <w:noWrap/>
            <w:tcMar>
              <w:top w:w="10" w:type="dxa"/>
              <w:left w:w="10" w:type="dxa"/>
              <w:bottom w:w="0" w:type="dxa"/>
              <w:right w:w="10" w:type="dxa"/>
            </w:tcMar>
            <w:vAlign w:val="bottom"/>
            <w:hideMark/>
          </w:tcPr>
          <w:p w:rsidR="00FD0EC2" w:rsidRPr="000B4B45" w:rsidRDefault="00FD0EC2" w:rsidP="00B91A3B">
            <w:pPr>
              <w:pStyle w:val="Gridtext"/>
            </w:pPr>
          </w:p>
        </w:tc>
        <w:tc>
          <w:tcPr>
            <w:tcW w:w="1252"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Moderate</w:t>
            </w:r>
            <w:r>
              <w:rPr>
                <w:color w:val="000000"/>
              </w:rPr>
              <w:br/>
            </w:r>
            <w:r>
              <w:rPr>
                <w:color w:val="000000"/>
              </w:rPr>
              <w:br/>
            </w:r>
            <w:r>
              <w:rPr>
                <w:color w:val="000000"/>
              </w:rPr>
              <w:br/>
            </w:r>
            <w:r>
              <w:rPr>
                <w:color w:val="000000"/>
              </w:rPr>
              <w:br/>
            </w:r>
            <w:r>
              <w:rPr>
                <w:color w:val="000000"/>
              </w:rPr>
              <w:br/>
            </w:r>
          </w:p>
        </w:tc>
        <w:tc>
          <w:tcPr>
            <w:tcW w:w="431" w:type="dxa"/>
            <w:shd w:val="clear" w:color="auto" w:fill="auto"/>
            <w:noWrap/>
            <w:tcMar>
              <w:top w:w="10" w:type="dxa"/>
              <w:left w:w="10" w:type="dxa"/>
              <w:bottom w:w="0" w:type="dxa"/>
              <w:right w:w="10" w:type="dxa"/>
            </w:tcMar>
            <w:vAlign w:val="bottom"/>
            <w:hideMark/>
          </w:tcPr>
          <w:p w:rsidR="00FD0EC2" w:rsidRDefault="00773A5B" w:rsidP="008D0BB2">
            <w:pPr>
              <w:pStyle w:val="Gridtext"/>
              <w:jc w:val="center"/>
              <w:rPr>
                <w:color w:val="000000"/>
              </w:rPr>
            </w:pPr>
            <w:r>
              <w:rPr>
                <w:color w:val="000000"/>
              </w:rPr>
              <w:t>10</w:t>
            </w:r>
            <w:r>
              <w:rPr>
                <w:color w:val="000000"/>
              </w:rPr>
              <w:br/>
            </w:r>
            <w:r>
              <w:rPr>
                <w:color w:val="000000"/>
              </w:rPr>
              <w:br/>
            </w:r>
            <w:r>
              <w:rPr>
                <w:color w:val="000000"/>
              </w:rPr>
              <w:br/>
            </w:r>
            <w:r>
              <w:rPr>
                <w:color w:val="000000"/>
              </w:rPr>
              <w:br/>
            </w:r>
            <w:r>
              <w:rPr>
                <w:color w:val="000000"/>
              </w:rPr>
              <w:br/>
            </w:r>
          </w:p>
        </w:tc>
        <w:tc>
          <w:tcPr>
            <w:tcW w:w="1288"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Analytic</w:t>
            </w:r>
            <w:r>
              <w:rPr>
                <w:color w:val="000000"/>
              </w:rPr>
              <w:br/>
            </w:r>
            <w:r>
              <w:rPr>
                <w:color w:val="000000"/>
              </w:rPr>
              <w:br/>
            </w:r>
            <w:r>
              <w:rPr>
                <w:color w:val="000000"/>
              </w:rPr>
              <w:br/>
            </w:r>
            <w:r>
              <w:rPr>
                <w:color w:val="000000"/>
              </w:rPr>
              <w:br/>
            </w:r>
            <w:r>
              <w:rPr>
                <w:color w:val="000000"/>
              </w:rPr>
              <w:br/>
            </w:r>
          </w:p>
        </w:tc>
        <w:tc>
          <w:tcPr>
            <w:tcW w:w="1432"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Measurement</w:t>
            </w:r>
            <w:r>
              <w:rPr>
                <w:color w:val="000000"/>
              </w:rPr>
              <w:br/>
            </w:r>
            <w:r>
              <w:rPr>
                <w:color w:val="000000"/>
              </w:rPr>
              <w:br/>
            </w:r>
            <w:r>
              <w:rPr>
                <w:color w:val="000000"/>
              </w:rPr>
              <w:br/>
            </w:r>
            <w:r>
              <w:rPr>
                <w:color w:val="000000"/>
              </w:rPr>
              <w:br/>
            </w:r>
            <w:r>
              <w:rPr>
                <w:color w:val="000000"/>
              </w:rPr>
              <w:br/>
            </w:r>
          </w:p>
        </w:tc>
        <w:tc>
          <w:tcPr>
            <w:tcW w:w="1575"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Application</w:t>
            </w:r>
            <w:r>
              <w:rPr>
                <w:color w:val="000000"/>
              </w:rPr>
              <w:br/>
            </w:r>
            <w:r>
              <w:rPr>
                <w:color w:val="000000"/>
              </w:rPr>
              <w:br/>
            </w:r>
            <w:r>
              <w:rPr>
                <w:color w:val="000000"/>
              </w:rPr>
              <w:br/>
            </w:r>
            <w:r>
              <w:rPr>
                <w:color w:val="000000"/>
              </w:rPr>
              <w:br/>
            </w:r>
            <w:r>
              <w:rPr>
                <w:color w:val="000000"/>
              </w:rPr>
              <w:br/>
            </w:r>
          </w:p>
        </w:tc>
      </w:tr>
      <w:tr w:rsidR="00FD0EC2" w:rsidRPr="000B4B45" w:rsidTr="00892E6D">
        <w:trPr>
          <w:trHeight w:val="300"/>
        </w:trPr>
        <w:tc>
          <w:tcPr>
            <w:tcW w:w="825" w:type="dxa"/>
            <w:shd w:val="clear" w:color="auto" w:fill="auto"/>
            <w:noWrap/>
            <w:tcMar>
              <w:top w:w="10" w:type="dxa"/>
              <w:left w:w="10" w:type="dxa"/>
              <w:bottom w:w="0" w:type="dxa"/>
              <w:right w:w="10" w:type="dxa"/>
            </w:tcMar>
            <w:vAlign w:val="bottom"/>
            <w:hideMark/>
          </w:tcPr>
          <w:p w:rsidR="00FD0EC2" w:rsidRDefault="009A0434" w:rsidP="00004942">
            <w:pPr>
              <w:pStyle w:val="Gridtext"/>
            </w:pPr>
            <w:r>
              <w:t>C1-7</w:t>
            </w:r>
            <w:r w:rsidR="00773A5B">
              <w:br/>
            </w:r>
            <w:r w:rsidR="00773A5B">
              <w:br/>
            </w:r>
            <w:r w:rsidR="002C25FB">
              <w:br/>
            </w:r>
            <w:r w:rsidR="002C25FB">
              <w:br/>
            </w:r>
            <w:r w:rsidR="00773A5B">
              <w:br/>
            </w:r>
          </w:p>
        </w:tc>
        <w:tc>
          <w:tcPr>
            <w:tcW w:w="2146" w:type="dxa"/>
            <w:shd w:val="clear" w:color="auto" w:fill="auto"/>
            <w:tcMar>
              <w:top w:w="10" w:type="dxa"/>
              <w:left w:w="10" w:type="dxa"/>
              <w:bottom w:w="0" w:type="dxa"/>
              <w:right w:w="10" w:type="dxa"/>
            </w:tcMar>
            <w:vAlign w:val="bottom"/>
            <w:hideMark/>
          </w:tcPr>
          <w:p w:rsidR="00FD0EC2" w:rsidRDefault="00430361" w:rsidP="00430361">
            <w:pPr>
              <w:pStyle w:val="Gridtext"/>
              <w:rPr>
                <w:color w:val="000000"/>
              </w:rPr>
            </w:pPr>
            <w:r w:rsidRPr="00430361">
              <w:rPr>
                <w:color w:val="000000"/>
              </w:rPr>
              <w:t>Starbucks Corporation's</w:t>
            </w:r>
            <w:r w:rsidR="009A0434">
              <w:rPr>
                <w:color w:val="000000"/>
              </w:rPr>
              <w:t xml:space="preserve"> Financial Statements</w:t>
            </w:r>
            <w:r w:rsidR="00773A5B">
              <w:rPr>
                <w:color w:val="000000"/>
              </w:rPr>
              <w:br/>
            </w:r>
            <w:r w:rsidR="002C25FB">
              <w:rPr>
                <w:color w:val="000000"/>
              </w:rPr>
              <w:br/>
            </w:r>
            <w:r w:rsidR="002C25FB">
              <w:rPr>
                <w:color w:val="000000"/>
              </w:rPr>
              <w:br/>
            </w:r>
          </w:p>
        </w:tc>
        <w:tc>
          <w:tcPr>
            <w:tcW w:w="2862" w:type="dxa"/>
            <w:shd w:val="clear" w:color="auto" w:fill="auto"/>
            <w:tcMar>
              <w:top w:w="10" w:type="dxa"/>
              <w:left w:w="10" w:type="dxa"/>
              <w:bottom w:w="0" w:type="dxa"/>
              <w:right w:w="10" w:type="dxa"/>
            </w:tcMar>
            <w:vAlign w:val="bottom"/>
            <w:hideMark/>
          </w:tcPr>
          <w:p w:rsidR="00FD0EC2" w:rsidRDefault="00773A5B" w:rsidP="002C25FB">
            <w:pPr>
              <w:pStyle w:val="Gridtext"/>
              <w:rPr>
                <w:color w:val="000000"/>
              </w:rPr>
            </w:pPr>
            <w:r>
              <w:rPr>
                <w:color w:val="000000"/>
              </w:rPr>
              <w:t>Identify two important pieces of information from each of the four primary financial statements</w:t>
            </w:r>
            <w:r w:rsidR="002C25FB">
              <w:rPr>
                <w:color w:val="000000"/>
              </w:rPr>
              <w:t xml:space="preserve"> </w:t>
            </w:r>
            <w:r w:rsidR="002C25FB" w:rsidRPr="002C25FB">
              <w:rPr>
                <w:color w:val="000000"/>
              </w:rPr>
              <w:t>and management discussion and analysis</w:t>
            </w:r>
          </w:p>
        </w:tc>
        <w:tc>
          <w:tcPr>
            <w:tcW w:w="288" w:type="dxa"/>
            <w:shd w:val="clear" w:color="auto" w:fill="auto"/>
            <w:tcMar>
              <w:top w:w="10" w:type="dxa"/>
              <w:left w:w="10" w:type="dxa"/>
              <w:bottom w:w="0" w:type="dxa"/>
              <w:right w:w="10" w:type="dxa"/>
            </w:tcMar>
            <w:vAlign w:val="bottom"/>
            <w:hideMark/>
          </w:tcPr>
          <w:p w:rsidR="00FD0EC2" w:rsidRDefault="00773A5B" w:rsidP="008D0BB2">
            <w:pPr>
              <w:pStyle w:val="Gridtext"/>
              <w:jc w:val="center"/>
              <w:rPr>
                <w:color w:val="000000"/>
              </w:rPr>
            </w:pPr>
            <w:r>
              <w:rPr>
                <w:color w:val="000000"/>
              </w:rPr>
              <w:t>7</w:t>
            </w:r>
            <w:r>
              <w:rPr>
                <w:color w:val="000000"/>
              </w:rPr>
              <w:br/>
            </w:r>
            <w:r>
              <w:rPr>
                <w:color w:val="000000"/>
              </w:rPr>
              <w:br/>
            </w:r>
            <w:r>
              <w:rPr>
                <w:color w:val="000000"/>
              </w:rPr>
              <w:br/>
            </w:r>
            <w:r w:rsidR="002C25FB">
              <w:rPr>
                <w:color w:val="000000"/>
              </w:rPr>
              <w:br/>
            </w:r>
            <w:r w:rsidR="002C25FB">
              <w:rPr>
                <w:color w:val="000000"/>
              </w:rPr>
              <w:br/>
            </w:r>
          </w:p>
        </w:tc>
        <w:tc>
          <w:tcPr>
            <w:tcW w:w="717" w:type="dxa"/>
            <w:shd w:val="clear" w:color="auto" w:fill="auto"/>
            <w:noWrap/>
            <w:tcMar>
              <w:top w:w="10" w:type="dxa"/>
              <w:left w:w="10" w:type="dxa"/>
              <w:bottom w:w="0" w:type="dxa"/>
              <w:right w:w="10" w:type="dxa"/>
            </w:tcMar>
            <w:vAlign w:val="bottom"/>
            <w:hideMark/>
          </w:tcPr>
          <w:p w:rsidR="00FD0EC2" w:rsidRPr="000B4B45" w:rsidRDefault="00FD0EC2" w:rsidP="00B91A3B">
            <w:pPr>
              <w:pStyle w:val="Gridtext"/>
            </w:pPr>
          </w:p>
        </w:tc>
        <w:tc>
          <w:tcPr>
            <w:tcW w:w="1252"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Moderate</w:t>
            </w:r>
            <w:r>
              <w:rPr>
                <w:color w:val="000000"/>
              </w:rPr>
              <w:br/>
            </w:r>
            <w:r>
              <w:rPr>
                <w:color w:val="000000"/>
              </w:rPr>
              <w:br/>
            </w:r>
            <w:r w:rsidR="002C25FB">
              <w:rPr>
                <w:color w:val="000000"/>
              </w:rPr>
              <w:br/>
            </w:r>
            <w:r w:rsidR="002C25FB">
              <w:rPr>
                <w:color w:val="000000"/>
              </w:rPr>
              <w:br/>
            </w:r>
            <w:r>
              <w:rPr>
                <w:color w:val="000000"/>
              </w:rPr>
              <w:br/>
            </w:r>
          </w:p>
        </w:tc>
        <w:tc>
          <w:tcPr>
            <w:tcW w:w="431" w:type="dxa"/>
            <w:shd w:val="clear" w:color="auto" w:fill="auto"/>
            <w:noWrap/>
            <w:tcMar>
              <w:top w:w="10" w:type="dxa"/>
              <w:left w:w="10" w:type="dxa"/>
              <w:bottom w:w="0" w:type="dxa"/>
              <w:right w:w="10" w:type="dxa"/>
            </w:tcMar>
            <w:vAlign w:val="bottom"/>
            <w:hideMark/>
          </w:tcPr>
          <w:p w:rsidR="00FD0EC2" w:rsidRDefault="00773A5B" w:rsidP="008D0BB2">
            <w:pPr>
              <w:pStyle w:val="Gridtext"/>
              <w:jc w:val="center"/>
              <w:rPr>
                <w:color w:val="000000"/>
              </w:rPr>
            </w:pPr>
            <w:r>
              <w:rPr>
                <w:color w:val="000000"/>
              </w:rPr>
              <w:t>20</w:t>
            </w:r>
            <w:r>
              <w:rPr>
                <w:color w:val="000000"/>
              </w:rPr>
              <w:br/>
            </w:r>
            <w:r>
              <w:rPr>
                <w:color w:val="000000"/>
              </w:rPr>
              <w:br/>
            </w:r>
            <w:r w:rsidR="002C25FB">
              <w:rPr>
                <w:color w:val="000000"/>
              </w:rPr>
              <w:br/>
            </w:r>
            <w:r w:rsidR="002C25FB">
              <w:rPr>
                <w:color w:val="000000"/>
              </w:rPr>
              <w:br/>
            </w:r>
            <w:r>
              <w:rPr>
                <w:color w:val="000000"/>
              </w:rPr>
              <w:br/>
            </w:r>
          </w:p>
        </w:tc>
        <w:tc>
          <w:tcPr>
            <w:tcW w:w="1288"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Analytic</w:t>
            </w:r>
            <w:r>
              <w:rPr>
                <w:color w:val="000000"/>
              </w:rPr>
              <w:br/>
            </w:r>
            <w:r>
              <w:rPr>
                <w:color w:val="000000"/>
              </w:rPr>
              <w:br/>
            </w:r>
            <w:r w:rsidR="002C25FB">
              <w:rPr>
                <w:color w:val="000000"/>
              </w:rPr>
              <w:br/>
            </w:r>
            <w:r w:rsidR="002C25FB">
              <w:rPr>
                <w:color w:val="000000"/>
              </w:rPr>
              <w:br/>
            </w:r>
            <w:r>
              <w:rPr>
                <w:color w:val="000000"/>
              </w:rPr>
              <w:br/>
            </w:r>
          </w:p>
        </w:tc>
        <w:tc>
          <w:tcPr>
            <w:tcW w:w="1432"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Reporting</w:t>
            </w:r>
            <w:r>
              <w:rPr>
                <w:color w:val="000000"/>
              </w:rPr>
              <w:br/>
            </w:r>
            <w:r>
              <w:rPr>
                <w:color w:val="000000"/>
              </w:rPr>
              <w:br/>
            </w:r>
            <w:r w:rsidR="002C25FB">
              <w:rPr>
                <w:color w:val="000000"/>
              </w:rPr>
              <w:br/>
            </w:r>
            <w:r w:rsidR="002C25FB">
              <w:rPr>
                <w:color w:val="000000"/>
              </w:rPr>
              <w:br/>
            </w:r>
            <w:r>
              <w:rPr>
                <w:color w:val="000000"/>
              </w:rPr>
              <w:br/>
            </w:r>
          </w:p>
        </w:tc>
        <w:tc>
          <w:tcPr>
            <w:tcW w:w="1575"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Application</w:t>
            </w:r>
            <w:r>
              <w:rPr>
                <w:color w:val="000000"/>
              </w:rPr>
              <w:br/>
            </w:r>
            <w:r>
              <w:rPr>
                <w:color w:val="000000"/>
              </w:rPr>
              <w:br/>
            </w:r>
            <w:r w:rsidR="002C25FB">
              <w:rPr>
                <w:color w:val="000000"/>
              </w:rPr>
              <w:br/>
            </w:r>
            <w:r w:rsidR="002C25FB">
              <w:rPr>
                <w:color w:val="000000"/>
              </w:rPr>
              <w:br/>
            </w:r>
            <w:r>
              <w:rPr>
                <w:color w:val="000000"/>
              </w:rPr>
              <w:br/>
            </w:r>
          </w:p>
        </w:tc>
      </w:tr>
    </w:tbl>
    <w:p w:rsidR="00773A5B" w:rsidRDefault="00773A5B" w:rsidP="00D61BBC">
      <w:pPr>
        <w:pStyle w:val="6pt"/>
      </w:pPr>
      <w:r>
        <w:br w:type="page"/>
      </w: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825"/>
        <w:gridCol w:w="2146"/>
        <w:gridCol w:w="2862"/>
        <w:gridCol w:w="288"/>
        <w:gridCol w:w="717"/>
        <w:gridCol w:w="1252"/>
        <w:gridCol w:w="431"/>
        <w:gridCol w:w="1288"/>
        <w:gridCol w:w="1432"/>
        <w:gridCol w:w="1575"/>
      </w:tblGrid>
      <w:tr w:rsidR="00773A5B" w:rsidRPr="00F06876" w:rsidTr="00892E6D">
        <w:trPr>
          <w:trHeight w:val="300"/>
        </w:trPr>
        <w:tc>
          <w:tcPr>
            <w:tcW w:w="825" w:type="dxa"/>
            <w:shd w:val="clear" w:color="auto" w:fill="auto"/>
            <w:noWrap/>
            <w:tcMar>
              <w:top w:w="10" w:type="dxa"/>
              <w:left w:w="10" w:type="dxa"/>
              <w:bottom w:w="0" w:type="dxa"/>
              <w:right w:w="10" w:type="dxa"/>
            </w:tcMar>
            <w:vAlign w:val="bottom"/>
            <w:hideMark/>
          </w:tcPr>
          <w:p w:rsidR="00773A5B" w:rsidRPr="00F06876" w:rsidRDefault="00773A5B" w:rsidP="0012553A">
            <w:pPr>
              <w:pStyle w:val="Gridtextheads"/>
            </w:pPr>
            <w:r w:rsidRPr="00F06876">
              <w:lastRenderedPageBreak/>
              <w:t>Number</w:t>
            </w:r>
          </w:p>
        </w:tc>
        <w:tc>
          <w:tcPr>
            <w:tcW w:w="2146" w:type="dxa"/>
            <w:shd w:val="clear" w:color="auto" w:fill="auto"/>
            <w:tcMar>
              <w:top w:w="10" w:type="dxa"/>
              <w:left w:w="10" w:type="dxa"/>
              <w:bottom w:w="0" w:type="dxa"/>
              <w:right w:w="10" w:type="dxa"/>
            </w:tcMar>
            <w:vAlign w:val="bottom"/>
            <w:hideMark/>
          </w:tcPr>
          <w:p w:rsidR="00773A5B" w:rsidRPr="00F06876" w:rsidRDefault="00773A5B" w:rsidP="0012553A">
            <w:pPr>
              <w:pStyle w:val="Gridtextheads"/>
            </w:pPr>
            <w:r w:rsidRPr="00F06876">
              <w:t>Topic</w:t>
            </w:r>
          </w:p>
        </w:tc>
        <w:tc>
          <w:tcPr>
            <w:tcW w:w="2862" w:type="dxa"/>
            <w:shd w:val="clear" w:color="auto" w:fill="auto"/>
            <w:tcMar>
              <w:top w:w="10" w:type="dxa"/>
              <w:left w:w="10" w:type="dxa"/>
              <w:bottom w:w="0" w:type="dxa"/>
              <w:right w:w="10" w:type="dxa"/>
            </w:tcMar>
            <w:vAlign w:val="bottom"/>
            <w:hideMark/>
          </w:tcPr>
          <w:p w:rsidR="00773A5B" w:rsidRPr="00F06876" w:rsidRDefault="00773A5B" w:rsidP="0012553A">
            <w:pPr>
              <w:pStyle w:val="Gridtextheads"/>
            </w:pPr>
            <w:r w:rsidRPr="00F06876">
              <w:t>Content</w:t>
            </w:r>
          </w:p>
        </w:tc>
        <w:tc>
          <w:tcPr>
            <w:tcW w:w="288" w:type="dxa"/>
            <w:shd w:val="clear" w:color="auto" w:fill="auto"/>
            <w:tcMar>
              <w:top w:w="10" w:type="dxa"/>
              <w:left w:w="10" w:type="dxa"/>
              <w:bottom w:w="0" w:type="dxa"/>
              <w:right w:w="10" w:type="dxa"/>
            </w:tcMar>
            <w:vAlign w:val="bottom"/>
            <w:hideMark/>
          </w:tcPr>
          <w:p w:rsidR="00773A5B" w:rsidRPr="00F06876" w:rsidRDefault="00773A5B" w:rsidP="008D0BB2">
            <w:pPr>
              <w:pStyle w:val="Gridtextheads"/>
            </w:pPr>
            <w:r w:rsidRPr="00F06876">
              <w:t>LO</w:t>
            </w:r>
          </w:p>
        </w:tc>
        <w:tc>
          <w:tcPr>
            <w:tcW w:w="717" w:type="dxa"/>
            <w:shd w:val="clear" w:color="auto" w:fill="auto"/>
            <w:noWrap/>
            <w:tcMar>
              <w:top w:w="10" w:type="dxa"/>
              <w:left w:w="10" w:type="dxa"/>
              <w:bottom w:w="0" w:type="dxa"/>
              <w:right w:w="10" w:type="dxa"/>
            </w:tcMar>
            <w:vAlign w:val="bottom"/>
            <w:hideMark/>
          </w:tcPr>
          <w:p w:rsidR="00773A5B" w:rsidRPr="00F06876" w:rsidRDefault="00773A5B" w:rsidP="0012553A">
            <w:pPr>
              <w:pStyle w:val="Gridtextheads"/>
            </w:pPr>
            <w:r w:rsidRPr="00F06876">
              <w:t>Adapted</w:t>
            </w:r>
          </w:p>
        </w:tc>
        <w:tc>
          <w:tcPr>
            <w:tcW w:w="1252" w:type="dxa"/>
            <w:shd w:val="clear" w:color="auto" w:fill="auto"/>
            <w:noWrap/>
            <w:tcMar>
              <w:top w:w="10" w:type="dxa"/>
              <w:left w:w="10" w:type="dxa"/>
              <w:bottom w:w="0" w:type="dxa"/>
              <w:right w:w="10" w:type="dxa"/>
            </w:tcMar>
            <w:vAlign w:val="bottom"/>
            <w:hideMark/>
          </w:tcPr>
          <w:p w:rsidR="00773A5B" w:rsidRPr="00F06876" w:rsidRDefault="00773A5B" w:rsidP="0012553A">
            <w:pPr>
              <w:pStyle w:val="Gridtextheads"/>
            </w:pPr>
            <w:r w:rsidRPr="00F06876">
              <w:t>Difficulty</w:t>
            </w:r>
          </w:p>
        </w:tc>
        <w:tc>
          <w:tcPr>
            <w:tcW w:w="431" w:type="dxa"/>
            <w:shd w:val="clear" w:color="auto" w:fill="auto"/>
            <w:noWrap/>
            <w:tcMar>
              <w:top w:w="10" w:type="dxa"/>
              <w:left w:w="10" w:type="dxa"/>
              <w:bottom w:w="0" w:type="dxa"/>
              <w:right w:w="10" w:type="dxa"/>
            </w:tcMar>
            <w:vAlign w:val="bottom"/>
            <w:hideMark/>
          </w:tcPr>
          <w:p w:rsidR="00773A5B" w:rsidRPr="00F06876" w:rsidRDefault="00773A5B" w:rsidP="008D0BB2">
            <w:pPr>
              <w:pStyle w:val="Gridtextheads"/>
            </w:pPr>
            <w:r w:rsidRPr="00F06876">
              <w:t>Time</w:t>
            </w:r>
            <w:r>
              <w:br/>
            </w:r>
            <w:r w:rsidRPr="00F06876">
              <w:t>Est</w:t>
            </w:r>
            <w:r>
              <w:t>.</w:t>
            </w:r>
          </w:p>
        </w:tc>
        <w:tc>
          <w:tcPr>
            <w:tcW w:w="1288" w:type="dxa"/>
            <w:shd w:val="clear" w:color="auto" w:fill="auto"/>
            <w:noWrap/>
            <w:tcMar>
              <w:top w:w="10" w:type="dxa"/>
              <w:left w:w="10" w:type="dxa"/>
              <w:bottom w:w="0" w:type="dxa"/>
              <w:right w:w="10" w:type="dxa"/>
            </w:tcMar>
            <w:vAlign w:val="bottom"/>
            <w:hideMark/>
          </w:tcPr>
          <w:p w:rsidR="00773A5B" w:rsidRPr="00F06876" w:rsidRDefault="00773A5B" w:rsidP="0012553A">
            <w:pPr>
              <w:pStyle w:val="Gridtextheads"/>
            </w:pPr>
            <w:r w:rsidRPr="00F06876">
              <w:t>AACSB</w:t>
            </w:r>
          </w:p>
        </w:tc>
        <w:tc>
          <w:tcPr>
            <w:tcW w:w="1432" w:type="dxa"/>
            <w:shd w:val="clear" w:color="auto" w:fill="auto"/>
            <w:noWrap/>
            <w:tcMar>
              <w:top w:w="10" w:type="dxa"/>
              <w:left w:w="10" w:type="dxa"/>
              <w:bottom w:w="0" w:type="dxa"/>
              <w:right w:w="10" w:type="dxa"/>
            </w:tcMar>
            <w:vAlign w:val="bottom"/>
            <w:hideMark/>
          </w:tcPr>
          <w:p w:rsidR="00773A5B" w:rsidRPr="00F06876" w:rsidRDefault="00773A5B" w:rsidP="0012553A">
            <w:pPr>
              <w:pStyle w:val="Gridtextheads"/>
            </w:pPr>
            <w:r w:rsidRPr="00F06876">
              <w:t>AICPA</w:t>
            </w:r>
          </w:p>
        </w:tc>
        <w:tc>
          <w:tcPr>
            <w:tcW w:w="1575" w:type="dxa"/>
            <w:shd w:val="clear" w:color="auto" w:fill="auto"/>
            <w:noWrap/>
            <w:tcMar>
              <w:top w:w="10" w:type="dxa"/>
              <w:left w:w="10" w:type="dxa"/>
              <w:bottom w:w="0" w:type="dxa"/>
              <w:right w:w="10" w:type="dxa"/>
            </w:tcMar>
            <w:vAlign w:val="bottom"/>
            <w:hideMark/>
          </w:tcPr>
          <w:p w:rsidR="00773A5B" w:rsidRPr="00F06876" w:rsidRDefault="00773A5B" w:rsidP="0012553A">
            <w:pPr>
              <w:pStyle w:val="Gridtextheads"/>
            </w:pPr>
            <w:r w:rsidRPr="00F06876">
              <w:t>Bloom’s</w:t>
            </w:r>
          </w:p>
        </w:tc>
      </w:tr>
      <w:tr w:rsidR="00892E6D" w:rsidRPr="000B4B45" w:rsidTr="00F24268">
        <w:trPr>
          <w:trHeight w:val="300"/>
        </w:trPr>
        <w:tc>
          <w:tcPr>
            <w:tcW w:w="825" w:type="dxa"/>
            <w:shd w:val="clear" w:color="auto" w:fill="auto"/>
            <w:noWrap/>
            <w:tcMar>
              <w:top w:w="10" w:type="dxa"/>
              <w:left w:w="10" w:type="dxa"/>
              <w:bottom w:w="0" w:type="dxa"/>
              <w:right w:w="10" w:type="dxa"/>
            </w:tcMar>
            <w:vAlign w:val="bottom"/>
            <w:hideMark/>
          </w:tcPr>
          <w:p w:rsidR="00892E6D" w:rsidRDefault="00892E6D" w:rsidP="00F24268">
            <w:pPr>
              <w:pStyle w:val="Gridtext"/>
            </w:pPr>
            <w:r>
              <w:t>C1-8</w:t>
            </w:r>
            <w:r>
              <w:br/>
            </w:r>
            <w:r>
              <w:br/>
            </w:r>
            <w:r>
              <w:br/>
            </w:r>
          </w:p>
        </w:tc>
        <w:tc>
          <w:tcPr>
            <w:tcW w:w="2146" w:type="dxa"/>
            <w:shd w:val="clear" w:color="auto" w:fill="auto"/>
            <w:tcMar>
              <w:top w:w="10" w:type="dxa"/>
              <w:left w:w="10" w:type="dxa"/>
              <w:bottom w:w="0" w:type="dxa"/>
              <w:right w:w="10" w:type="dxa"/>
            </w:tcMar>
            <w:vAlign w:val="bottom"/>
            <w:hideMark/>
          </w:tcPr>
          <w:p w:rsidR="00892E6D" w:rsidRPr="00430361" w:rsidRDefault="00892E6D" w:rsidP="00F24268">
            <w:pPr>
              <w:pStyle w:val="Gridtext"/>
              <w:rPr>
                <w:color w:val="000000"/>
              </w:rPr>
            </w:pPr>
            <w:r w:rsidRPr="00430361">
              <w:rPr>
                <w:color w:val="000000"/>
              </w:rPr>
              <w:t>Nestl</w:t>
            </w:r>
            <w:r w:rsidRPr="00430361">
              <w:rPr>
                <w:rFonts w:cs="Times New Roman"/>
                <w:color w:val="000000"/>
              </w:rPr>
              <w:t>é</w:t>
            </w:r>
            <w:r w:rsidRPr="00430361">
              <w:rPr>
                <w:color w:val="000000"/>
              </w:rPr>
              <w:t>s Financial Statements</w:t>
            </w:r>
            <w:r w:rsidRPr="00430361">
              <w:rPr>
                <w:color w:val="000000"/>
              </w:rPr>
              <w:br/>
            </w:r>
            <w:r w:rsidRPr="00430361">
              <w:rPr>
                <w:color w:val="000000"/>
              </w:rPr>
              <w:br/>
            </w:r>
          </w:p>
        </w:tc>
        <w:tc>
          <w:tcPr>
            <w:tcW w:w="2862" w:type="dxa"/>
            <w:shd w:val="clear" w:color="auto" w:fill="auto"/>
            <w:tcMar>
              <w:top w:w="10" w:type="dxa"/>
              <w:left w:w="10" w:type="dxa"/>
              <w:bottom w:w="0" w:type="dxa"/>
              <w:right w:w="10" w:type="dxa"/>
            </w:tcMar>
            <w:vAlign w:val="bottom"/>
            <w:hideMark/>
          </w:tcPr>
          <w:p w:rsidR="00892E6D" w:rsidRDefault="00892E6D" w:rsidP="00F24268">
            <w:pPr>
              <w:pStyle w:val="Gridtext"/>
              <w:rPr>
                <w:color w:val="000000"/>
              </w:rPr>
            </w:pPr>
            <w:r>
              <w:rPr>
                <w:color w:val="000000"/>
              </w:rPr>
              <w:t>Identify two important pieces of information from each of three primary financial statements</w:t>
            </w:r>
          </w:p>
        </w:tc>
        <w:tc>
          <w:tcPr>
            <w:tcW w:w="288" w:type="dxa"/>
            <w:shd w:val="clear" w:color="auto" w:fill="auto"/>
            <w:tcMar>
              <w:top w:w="10" w:type="dxa"/>
              <w:left w:w="10" w:type="dxa"/>
              <w:bottom w:w="0" w:type="dxa"/>
              <w:right w:w="10" w:type="dxa"/>
            </w:tcMar>
            <w:vAlign w:val="bottom"/>
            <w:hideMark/>
          </w:tcPr>
          <w:p w:rsidR="00892E6D" w:rsidRDefault="00892E6D" w:rsidP="00F24268">
            <w:pPr>
              <w:pStyle w:val="Gridtext"/>
              <w:jc w:val="center"/>
              <w:rPr>
                <w:color w:val="000000"/>
              </w:rPr>
            </w:pPr>
            <w:r>
              <w:rPr>
                <w:color w:val="000000"/>
              </w:rPr>
              <w:t>7</w:t>
            </w:r>
            <w:r>
              <w:rPr>
                <w:color w:val="000000"/>
              </w:rPr>
              <w:br/>
            </w:r>
            <w:r>
              <w:rPr>
                <w:color w:val="000000"/>
              </w:rPr>
              <w:br/>
            </w:r>
            <w:r>
              <w:rPr>
                <w:color w:val="000000"/>
              </w:rPr>
              <w:br/>
            </w:r>
          </w:p>
        </w:tc>
        <w:tc>
          <w:tcPr>
            <w:tcW w:w="717" w:type="dxa"/>
            <w:shd w:val="clear" w:color="auto" w:fill="auto"/>
            <w:noWrap/>
            <w:tcMar>
              <w:top w:w="10" w:type="dxa"/>
              <w:left w:w="10" w:type="dxa"/>
              <w:bottom w:w="0" w:type="dxa"/>
              <w:right w:w="10" w:type="dxa"/>
            </w:tcMar>
            <w:vAlign w:val="bottom"/>
            <w:hideMark/>
          </w:tcPr>
          <w:p w:rsidR="00892E6D" w:rsidRPr="000B4B45" w:rsidRDefault="00892E6D" w:rsidP="00F24268">
            <w:pPr>
              <w:pStyle w:val="Gridtext"/>
            </w:pPr>
          </w:p>
        </w:tc>
        <w:tc>
          <w:tcPr>
            <w:tcW w:w="1252"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Moderate</w:t>
            </w:r>
            <w:r>
              <w:rPr>
                <w:color w:val="000000"/>
              </w:rPr>
              <w:br/>
            </w:r>
            <w:r>
              <w:rPr>
                <w:color w:val="000000"/>
              </w:rPr>
              <w:br/>
            </w:r>
            <w:r>
              <w:rPr>
                <w:color w:val="000000"/>
              </w:rPr>
              <w:br/>
            </w:r>
          </w:p>
        </w:tc>
        <w:tc>
          <w:tcPr>
            <w:tcW w:w="431" w:type="dxa"/>
            <w:shd w:val="clear" w:color="auto" w:fill="auto"/>
            <w:noWrap/>
            <w:tcMar>
              <w:top w:w="10" w:type="dxa"/>
              <w:left w:w="10" w:type="dxa"/>
              <w:bottom w:w="0" w:type="dxa"/>
              <w:right w:w="10" w:type="dxa"/>
            </w:tcMar>
            <w:vAlign w:val="bottom"/>
            <w:hideMark/>
          </w:tcPr>
          <w:p w:rsidR="00892E6D" w:rsidRDefault="00892E6D" w:rsidP="00F24268">
            <w:pPr>
              <w:pStyle w:val="Gridtext"/>
              <w:jc w:val="center"/>
              <w:rPr>
                <w:color w:val="000000"/>
              </w:rPr>
            </w:pPr>
            <w:r>
              <w:rPr>
                <w:color w:val="000000"/>
              </w:rPr>
              <w:t>20</w:t>
            </w:r>
            <w:r>
              <w:rPr>
                <w:color w:val="000000"/>
              </w:rPr>
              <w:br/>
            </w:r>
            <w:r>
              <w:rPr>
                <w:color w:val="000000"/>
              </w:rPr>
              <w:br/>
            </w:r>
            <w:r>
              <w:rPr>
                <w:color w:val="000000"/>
              </w:rPr>
              <w:br/>
            </w:r>
          </w:p>
        </w:tc>
        <w:tc>
          <w:tcPr>
            <w:tcW w:w="1288"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Analytic</w:t>
            </w:r>
            <w:r>
              <w:rPr>
                <w:color w:val="000000"/>
              </w:rPr>
              <w:br/>
            </w:r>
            <w:r>
              <w:rPr>
                <w:color w:val="000000"/>
              </w:rPr>
              <w:br/>
            </w:r>
            <w:r>
              <w:rPr>
                <w:color w:val="000000"/>
              </w:rPr>
              <w:br/>
            </w:r>
          </w:p>
        </w:tc>
        <w:tc>
          <w:tcPr>
            <w:tcW w:w="1432"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Reporting</w:t>
            </w:r>
            <w:r>
              <w:rPr>
                <w:color w:val="000000"/>
              </w:rPr>
              <w:br/>
            </w:r>
            <w:r>
              <w:rPr>
                <w:color w:val="000000"/>
              </w:rPr>
              <w:br/>
            </w:r>
            <w:r>
              <w:rPr>
                <w:color w:val="000000"/>
              </w:rPr>
              <w:br/>
            </w:r>
          </w:p>
        </w:tc>
        <w:tc>
          <w:tcPr>
            <w:tcW w:w="1575" w:type="dxa"/>
            <w:shd w:val="clear" w:color="auto" w:fill="auto"/>
            <w:noWrap/>
            <w:tcMar>
              <w:top w:w="10" w:type="dxa"/>
              <w:left w:w="10" w:type="dxa"/>
              <w:bottom w:w="0" w:type="dxa"/>
              <w:right w:w="10" w:type="dxa"/>
            </w:tcMar>
            <w:vAlign w:val="bottom"/>
            <w:hideMark/>
          </w:tcPr>
          <w:p w:rsidR="00892E6D" w:rsidRDefault="00892E6D" w:rsidP="00F24268">
            <w:pPr>
              <w:pStyle w:val="Gridtext"/>
              <w:rPr>
                <w:color w:val="000000"/>
              </w:rPr>
            </w:pPr>
            <w:r>
              <w:rPr>
                <w:color w:val="000000"/>
              </w:rPr>
              <w:t>Application</w:t>
            </w:r>
            <w:r>
              <w:rPr>
                <w:color w:val="000000"/>
              </w:rPr>
              <w:br/>
            </w:r>
            <w:r>
              <w:rPr>
                <w:color w:val="000000"/>
              </w:rPr>
              <w:br/>
            </w:r>
            <w:r>
              <w:rPr>
                <w:color w:val="000000"/>
              </w:rPr>
              <w:br/>
            </w:r>
          </w:p>
        </w:tc>
      </w:tr>
      <w:tr w:rsidR="00FD0EC2" w:rsidRPr="000B4B45" w:rsidTr="00892E6D">
        <w:trPr>
          <w:trHeight w:val="300"/>
        </w:trPr>
        <w:tc>
          <w:tcPr>
            <w:tcW w:w="825" w:type="dxa"/>
            <w:shd w:val="clear" w:color="auto" w:fill="auto"/>
            <w:noWrap/>
            <w:tcMar>
              <w:top w:w="10" w:type="dxa"/>
              <w:left w:w="10" w:type="dxa"/>
              <w:bottom w:w="0" w:type="dxa"/>
              <w:right w:w="10" w:type="dxa"/>
            </w:tcMar>
            <w:vAlign w:val="bottom"/>
            <w:hideMark/>
          </w:tcPr>
          <w:p w:rsidR="00FD0EC2" w:rsidRDefault="009A0434" w:rsidP="00004942">
            <w:pPr>
              <w:pStyle w:val="Gridtext"/>
            </w:pPr>
            <w:r>
              <w:t>C1-9</w:t>
            </w:r>
            <w:r w:rsidR="00391FA5">
              <w:br/>
            </w:r>
            <w:r w:rsidR="00391FA5">
              <w:br/>
            </w:r>
            <w:r w:rsidR="00391FA5">
              <w:br/>
            </w:r>
          </w:p>
        </w:tc>
        <w:tc>
          <w:tcPr>
            <w:tcW w:w="2146" w:type="dxa"/>
            <w:shd w:val="clear" w:color="auto" w:fill="auto"/>
            <w:tcMar>
              <w:top w:w="10" w:type="dxa"/>
              <w:left w:w="10" w:type="dxa"/>
              <w:bottom w:w="0" w:type="dxa"/>
              <w:right w:w="10" w:type="dxa"/>
            </w:tcMar>
            <w:vAlign w:val="bottom"/>
            <w:hideMark/>
          </w:tcPr>
          <w:p w:rsidR="00FD0EC2" w:rsidRDefault="009A0434" w:rsidP="00B91A3B">
            <w:pPr>
              <w:pStyle w:val="Gridtext"/>
              <w:rPr>
                <w:color w:val="000000"/>
              </w:rPr>
            </w:pPr>
            <w:r>
              <w:rPr>
                <w:color w:val="000000"/>
              </w:rPr>
              <w:t>Coca Cola's Financial Statements</w:t>
            </w:r>
            <w:r w:rsidR="00391FA5">
              <w:rPr>
                <w:color w:val="000000"/>
              </w:rPr>
              <w:br/>
            </w:r>
            <w:r w:rsidR="00391FA5">
              <w:rPr>
                <w:color w:val="000000"/>
              </w:rPr>
              <w:br/>
            </w:r>
          </w:p>
        </w:tc>
        <w:tc>
          <w:tcPr>
            <w:tcW w:w="2862" w:type="dxa"/>
            <w:shd w:val="clear" w:color="auto" w:fill="auto"/>
            <w:tcMar>
              <w:top w:w="10" w:type="dxa"/>
              <w:left w:w="10" w:type="dxa"/>
              <w:bottom w:w="0" w:type="dxa"/>
              <w:right w:w="10" w:type="dxa"/>
            </w:tcMar>
            <w:vAlign w:val="bottom"/>
            <w:hideMark/>
          </w:tcPr>
          <w:p w:rsidR="00FD0EC2" w:rsidRDefault="00773A5B" w:rsidP="0012553A">
            <w:pPr>
              <w:pStyle w:val="Gridtext"/>
              <w:rPr>
                <w:color w:val="000000"/>
              </w:rPr>
            </w:pPr>
            <w:r>
              <w:rPr>
                <w:color w:val="000000"/>
              </w:rPr>
              <w:t>Identify two important pieces of information from each of three primary financial statements</w:t>
            </w:r>
          </w:p>
        </w:tc>
        <w:tc>
          <w:tcPr>
            <w:tcW w:w="288" w:type="dxa"/>
            <w:shd w:val="clear" w:color="auto" w:fill="auto"/>
            <w:tcMar>
              <w:top w:w="10" w:type="dxa"/>
              <w:left w:w="10" w:type="dxa"/>
              <w:bottom w:w="0" w:type="dxa"/>
              <w:right w:w="10" w:type="dxa"/>
            </w:tcMar>
            <w:vAlign w:val="bottom"/>
            <w:hideMark/>
          </w:tcPr>
          <w:p w:rsidR="00FD0EC2" w:rsidRDefault="00773A5B" w:rsidP="008D0BB2">
            <w:pPr>
              <w:pStyle w:val="Gridtext"/>
              <w:jc w:val="center"/>
              <w:rPr>
                <w:color w:val="000000"/>
              </w:rPr>
            </w:pPr>
            <w:r>
              <w:rPr>
                <w:color w:val="000000"/>
              </w:rPr>
              <w:t>7</w:t>
            </w:r>
            <w:r w:rsidR="00391FA5">
              <w:rPr>
                <w:color w:val="000000"/>
              </w:rPr>
              <w:br/>
            </w:r>
            <w:r w:rsidR="00391FA5">
              <w:rPr>
                <w:color w:val="000000"/>
              </w:rPr>
              <w:br/>
            </w:r>
            <w:r w:rsidR="00391FA5">
              <w:rPr>
                <w:color w:val="000000"/>
              </w:rPr>
              <w:br/>
            </w:r>
          </w:p>
        </w:tc>
        <w:tc>
          <w:tcPr>
            <w:tcW w:w="717" w:type="dxa"/>
            <w:shd w:val="clear" w:color="auto" w:fill="auto"/>
            <w:noWrap/>
            <w:tcMar>
              <w:top w:w="10" w:type="dxa"/>
              <w:left w:w="10" w:type="dxa"/>
              <w:bottom w:w="0" w:type="dxa"/>
              <w:right w:w="10" w:type="dxa"/>
            </w:tcMar>
            <w:vAlign w:val="bottom"/>
            <w:hideMark/>
          </w:tcPr>
          <w:p w:rsidR="00FD0EC2" w:rsidRPr="000B4B45" w:rsidRDefault="00FD0EC2" w:rsidP="00B91A3B">
            <w:pPr>
              <w:pStyle w:val="Gridtext"/>
            </w:pPr>
          </w:p>
        </w:tc>
        <w:tc>
          <w:tcPr>
            <w:tcW w:w="1252"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Moderate</w:t>
            </w:r>
            <w:r w:rsidR="00573BAD">
              <w:rPr>
                <w:color w:val="000000"/>
              </w:rPr>
              <w:br/>
            </w:r>
            <w:r w:rsidR="00573BAD">
              <w:rPr>
                <w:color w:val="000000"/>
              </w:rPr>
              <w:br/>
            </w:r>
            <w:r w:rsidR="00573BAD">
              <w:rPr>
                <w:color w:val="000000"/>
              </w:rPr>
              <w:br/>
            </w:r>
          </w:p>
        </w:tc>
        <w:tc>
          <w:tcPr>
            <w:tcW w:w="431" w:type="dxa"/>
            <w:shd w:val="clear" w:color="auto" w:fill="auto"/>
            <w:noWrap/>
            <w:tcMar>
              <w:top w:w="10" w:type="dxa"/>
              <w:left w:w="10" w:type="dxa"/>
              <w:bottom w:w="0" w:type="dxa"/>
              <w:right w:w="10" w:type="dxa"/>
            </w:tcMar>
            <w:vAlign w:val="bottom"/>
            <w:hideMark/>
          </w:tcPr>
          <w:p w:rsidR="00FD0EC2" w:rsidRDefault="00773A5B" w:rsidP="008D0BB2">
            <w:pPr>
              <w:pStyle w:val="Gridtext"/>
              <w:jc w:val="center"/>
              <w:rPr>
                <w:color w:val="000000"/>
              </w:rPr>
            </w:pPr>
            <w:r>
              <w:rPr>
                <w:color w:val="000000"/>
              </w:rPr>
              <w:t>20</w:t>
            </w:r>
            <w:r w:rsidR="00573BAD">
              <w:rPr>
                <w:color w:val="000000"/>
              </w:rPr>
              <w:br/>
            </w:r>
            <w:r w:rsidR="00573BAD">
              <w:rPr>
                <w:color w:val="000000"/>
              </w:rPr>
              <w:br/>
            </w:r>
            <w:r w:rsidR="00573BAD">
              <w:rPr>
                <w:color w:val="000000"/>
              </w:rPr>
              <w:br/>
            </w:r>
          </w:p>
        </w:tc>
        <w:tc>
          <w:tcPr>
            <w:tcW w:w="1288"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Analytic</w:t>
            </w:r>
            <w:r w:rsidR="00573BAD">
              <w:rPr>
                <w:color w:val="000000"/>
              </w:rPr>
              <w:br/>
            </w:r>
            <w:r w:rsidR="00573BAD">
              <w:rPr>
                <w:color w:val="000000"/>
              </w:rPr>
              <w:br/>
            </w:r>
            <w:r w:rsidR="00573BAD">
              <w:rPr>
                <w:color w:val="000000"/>
              </w:rPr>
              <w:br/>
            </w:r>
          </w:p>
        </w:tc>
        <w:tc>
          <w:tcPr>
            <w:tcW w:w="1432"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Reporting</w:t>
            </w:r>
            <w:r w:rsidR="00573BAD">
              <w:rPr>
                <w:color w:val="000000"/>
              </w:rPr>
              <w:br/>
            </w:r>
            <w:r w:rsidR="00573BAD">
              <w:rPr>
                <w:color w:val="000000"/>
              </w:rPr>
              <w:br/>
            </w:r>
            <w:r w:rsidR="00573BAD">
              <w:rPr>
                <w:color w:val="000000"/>
              </w:rPr>
              <w:br/>
            </w:r>
          </w:p>
        </w:tc>
        <w:tc>
          <w:tcPr>
            <w:tcW w:w="1575" w:type="dxa"/>
            <w:shd w:val="clear" w:color="auto" w:fill="auto"/>
            <w:noWrap/>
            <w:tcMar>
              <w:top w:w="10" w:type="dxa"/>
              <w:left w:w="10" w:type="dxa"/>
              <w:bottom w:w="0" w:type="dxa"/>
              <w:right w:w="10" w:type="dxa"/>
            </w:tcMar>
            <w:vAlign w:val="bottom"/>
            <w:hideMark/>
          </w:tcPr>
          <w:p w:rsidR="00FD0EC2" w:rsidRDefault="00773A5B" w:rsidP="00B91A3B">
            <w:pPr>
              <w:pStyle w:val="Gridtext"/>
              <w:rPr>
                <w:color w:val="000000"/>
              </w:rPr>
            </w:pPr>
            <w:r>
              <w:rPr>
                <w:color w:val="000000"/>
              </w:rPr>
              <w:t>Application</w:t>
            </w:r>
            <w:r w:rsidR="00573BAD">
              <w:rPr>
                <w:color w:val="000000"/>
              </w:rPr>
              <w:br/>
            </w:r>
            <w:r w:rsidR="00573BAD">
              <w:rPr>
                <w:color w:val="000000"/>
              </w:rPr>
              <w:br/>
            </w:r>
            <w:r w:rsidR="00573BAD">
              <w:rPr>
                <w:color w:val="000000"/>
              </w:rPr>
              <w:br/>
            </w:r>
          </w:p>
        </w:tc>
      </w:tr>
      <w:tr w:rsidR="00773A5B" w:rsidRPr="000B4B45" w:rsidTr="00892E6D">
        <w:trPr>
          <w:trHeight w:val="300"/>
        </w:trPr>
        <w:tc>
          <w:tcPr>
            <w:tcW w:w="825" w:type="dxa"/>
            <w:shd w:val="clear" w:color="auto" w:fill="auto"/>
            <w:noWrap/>
            <w:tcMar>
              <w:top w:w="10" w:type="dxa"/>
              <w:left w:w="10" w:type="dxa"/>
              <w:bottom w:w="0" w:type="dxa"/>
              <w:right w:w="10" w:type="dxa"/>
            </w:tcMar>
            <w:vAlign w:val="bottom"/>
            <w:hideMark/>
          </w:tcPr>
          <w:p w:rsidR="00773A5B" w:rsidRDefault="00773A5B" w:rsidP="00004942">
            <w:pPr>
              <w:pStyle w:val="Gridtext"/>
            </w:pPr>
            <w:r>
              <w:t>C1-10</w:t>
            </w:r>
            <w:r w:rsidR="00391FA5">
              <w:br/>
            </w:r>
            <w:r w:rsidR="00391FA5">
              <w:br/>
            </w:r>
          </w:p>
        </w:tc>
        <w:tc>
          <w:tcPr>
            <w:tcW w:w="2146" w:type="dxa"/>
            <w:shd w:val="clear" w:color="auto" w:fill="auto"/>
            <w:tcMar>
              <w:top w:w="10" w:type="dxa"/>
              <w:left w:w="10" w:type="dxa"/>
              <w:bottom w:w="0" w:type="dxa"/>
              <w:right w:w="10" w:type="dxa"/>
            </w:tcMar>
            <w:vAlign w:val="bottom"/>
            <w:hideMark/>
          </w:tcPr>
          <w:p w:rsidR="00773A5B" w:rsidRDefault="00773A5B" w:rsidP="00B91A3B">
            <w:pPr>
              <w:pStyle w:val="Gridtext"/>
              <w:rPr>
                <w:color w:val="000000"/>
              </w:rPr>
            </w:pPr>
            <w:r>
              <w:rPr>
                <w:color w:val="000000"/>
              </w:rPr>
              <w:t>Ethical Responsibilities</w:t>
            </w:r>
            <w:r w:rsidR="00391FA5">
              <w:rPr>
                <w:color w:val="000000"/>
              </w:rPr>
              <w:br/>
            </w:r>
            <w:r w:rsidR="00391FA5">
              <w:rPr>
                <w:color w:val="000000"/>
              </w:rPr>
              <w:br/>
            </w:r>
          </w:p>
        </w:tc>
        <w:tc>
          <w:tcPr>
            <w:tcW w:w="2862" w:type="dxa"/>
            <w:shd w:val="clear" w:color="auto" w:fill="auto"/>
            <w:tcMar>
              <w:top w:w="10" w:type="dxa"/>
              <w:left w:w="10" w:type="dxa"/>
              <w:bottom w:w="0" w:type="dxa"/>
              <w:right w:w="10" w:type="dxa"/>
            </w:tcMar>
            <w:vAlign w:val="bottom"/>
            <w:hideMark/>
          </w:tcPr>
          <w:p w:rsidR="00773A5B" w:rsidRDefault="00773A5B" w:rsidP="00773A5B">
            <w:pPr>
              <w:pStyle w:val="Gridtext"/>
              <w:rPr>
                <w:color w:val="000000"/>
              </w:rPr>
            </w:pPr>
            <w:r>
              <w:rPr>
                <w:color w:val="000000"/>
              </w:rPr>
              <w:t>Discuss steps to take in an ethical dilemma (“misplaced” book in library)</w:t>
            </w:r>
          </w:p>
        </w:tc>
        <w:tc>
          <w:tcPr>
            <w:tcW w:w="288" w:type="dxa"/>
            <w:shd w:val="clear" w:color="auto" w:fill="auto"/>
            <w:tcMar>
              <w:top w:w="10" w:type="dxa"/>
              <w:left w:w="10" w:type="dxa"/>
              <w:bottom w:w="0" w:type="dxa"/>
              <w:right w:w="10" w:type="dxa"/>
            </w:tcMar>
            <w:vAlign w:val="bottom"/>
            <w:hideMark/>
          </w:tcPr>
          <w:p w:rsidR="00773A5B" w:rsidRDefault="00773A5B" w:rsidP="008D0BB2">
            <w:pPr>
              <w:jc w:val="center"/>
              <w:rPr>
                <w:color w:val="000000"/>
                <w:szCs w:val="20"/>
              </w:rPr>
            </w:pPr>
            <w:r>
              <w:rPr>
                <w:color w:val="000000"/>
                <w:szCs w:val="20"/>
              </w:rPr>
              <w:t>8</w:t>
            </w:r>
            <w:r w:rsidR="00391FA5">
              <w:rPr>
                <w:color w:val="000000"/>
                <w:szCs w:val="20"/>
              </w:rPr>
              <w:br/>
            </w:r>
            <w:r w:rsidR="00391FA5">
              <w:rPr>
                <w:color w:val="000000"/>
                <w:szCs w:val="20"/>
              </w:rPr>
              <w:br/>
            </w:r>
          </w:p>
        </w:tc>
        <w:tc>
          <w:tcPr>
            <w:tcW w:w="717" w:type="dxa"/>
            <w:shd w:val="clear" w:color="auto" w:fill="auto"/>
            <w:noWrap/>
            <w:tcMar>
              <w:top w:w="10" w:type="dxa"/>
              <w:left w:w="10" w:type="dxa"/>
              <w:bottom w:w="0" w:type="dxa"/>
              <w:right w:w="10" w:type="dxa"/>
            </w:tcMar>
            <w:vAlign w:val="bottom"/>
            <w:hideMark/>
          </w:tcPr>
          <w:p w:rsidR="00773A5B" w:rsidRPr="000B4B45" w:rsidRDefault="00773A5B" w:rsidP="00B91A3B">
            <w:pPr>
              <w:pStyle w:val="Gridtext"/>
            </w:pPr>
          </w:p>
        </w:tc>
        <w:tc>
          <w:tcPr>
            <w:tcW w:w="1252" w:type="dxa"/>
            <w:shd w:val="clear" w:color="auto" w:fill="auto"/>
            <w:noWrap/>
            <w:tcMar>
              <w:top w:w="10" w:type="dxa"/>
              <w:left w:w="10" w:type="dxa"/>
              <w:bottom w:w="0" w:type="dxa"/>
              <w:right w:w="10" w:type="dxa"/>
            </w:tcMar>
            <w:vAlign w:val="bottom"/>
            <w:hideMark/>
          </w:tcPr>
          <w:p w:rsidR="00773A5B" w:rsidRDefault="00773A5B" w:rsidP="00B91A3B">
            <w:pPr>
              <w:pStyle w:val="Gridtext"/>
              <w:rPr>
                <w:color w:val="000000"/>
              </w:rPr>
            </w:pPr>
            <w:r>
              <w:rPr>
                <w:color w:val="000000"/>
              </w:rPr>
              <w:t>Moderate</w:t>
            </w:r>
            <w:r w:rsidR="00573BAD">
              <w:rPr>
                <w:color w:val="000000"/>
              </w:rPr>
              <w:br/>
            </w:r>
            <w:r w:rsidR="00573BAD">
              <w:rPr>
                <w:color w:val="000000"/>
              </w:rPr>
              <w:br/>
            </w:r>
          </w:p>
        </w:tc>
        <w:tc>
          <w:tcPr>
            <w:tcW w:w="431" w:type="dxa"/>
            <w:shd w:val="clear" w:color="auto" w:fill="auto"/>
            <w:noWrap/>
            <w:tcMar>
              <w:top w:w="10" w:type="dxa"/>
              <w:left w:w="10" w:type="dxa"/>
              <w:bottom w:w="0" w:type="dxa"/>
              <w:right w:w="10" w:type="dxa"/>
            </w:tcMar>
            <w:vAlign w:val="bottom"/>
            <w:hideMark/>
          </w:tcPr>
          <w:p w:rsidR="00773A5B" w:rsidRDefault="00773A5B" w:rsidP="008D0BB2">
            <w:pPr>
              <w:pStyle w:val="Gridtext"/>
              <w:jc w:val="center"/>
              <w:rPr>
                <w:color w:val="000000"/>
              </w:rPr>
            </w:pPr>
            <w:r>
              <w:rPr>
                <w:color w:val="000000"/>
              </w:rPr>
              <w:t>5</w:t>
            </w:r>
            <w:r w:rsidR="00573BAD">
              <w:rPr>
                <w:color w:val="000000"/>
              </w:rPr>
              <w:br/>
            </w:r>
            <w:r w:rsidR="00573BAD">
              <w:rPr>
                <w:color w:val="000000"/>
              </w:rPr>
              <w:br/>
            </w:r>
          </w:p>
        </w:tc>
        <w:tc>
          <w:tcPr>
            <w:tcW w:w="1288" w:type="dxa"/>
            <w:shd w:val="clear" w:color="auto" w:fill="auto"/>
            <w:noWrap/>
            <w:tcMar>
              <w:top w:w="10" w:type="dxa"/>
              <w:left w:w="10" w:type="dxa"/>
              <w:bottom w:w="0" w:type="dxa"/>
              <w:right w:w="10" w:type="dxa"/>
            </w:tcMar>
            <w:vAlign w:val="bottom"/>
            <w:hideMark/>
          </w:tcPr>
          <w:p w:rsidR="00773A5B" w:rsidRDefault="00773A5B" w:rsidP="00B91A3B">
            <w:pPr>
              <w:pStyle w:val="Gridtext"/>
              <w:rPr>
                <w:color w:val="000000"/>
              </w:rPr>
            </w:pPr>
            <w:r>
              <w:rPr>
                <w:color w:val="000000"/>
              </w:rPr>
              <w:t>Reflective Thinking</w:t>
            </w:r>
            <w:r w:rsidR="00573BAD">
              <w:rPr>
                <w:color w:val="000000"/>
              </w:rPr>
              <w:br/>
            </w:r>
          </w:p>
        </w:tc>
        <w:tc>
          <w:tcPr>
            <w:tcW w:w="1432" w:type="dxa"/>
            <w:shd w:val="clear" w:color="auto" w:fill="auto"/>
            <w:noWrap/>
            <w:tcMar>
              <w:top w:w="10" w:type="dxa"/>
              <w:left w:w="10" w:type="dxa"/>
              <w:bottom w:w="0" w:type="dxa"/>
              <w:right w:w="10" w:type="dxa"/>
            </w:tcMar>
            <w:vAlign w:val="bottom"/>
            <w:hideMark/>
          </w:tcPr>
          <w:p w:rsidR="00773A5B" w:rsidRDefault="00773A5B" w:rsidP="00B91A3B">
            <w:pPr>
              <w:pStyle w:val="Gridtext"/>
              <w:rPr>
                <w:color w:val="000000"/>
              </w:rPr>
            </w:pPr>
            <w:r>
              <w:rPr>
                <w:color w:val="000000"/>
              </w:rPr>
              <w:t>Measurement</w:t>
            </w:r>
            <w:r w:rsidR="00573BAD">
              <w:rPr>
                <w:color w:val="000000"/>
              </w:rPr>
              <w:br/>
            </w:r>
            <w:r w:rsidR="00573BAD">
              <w:rPr>
                <w:color w:val="000000"/>
              </w:rPr>
              <w:br/>
            </w:r>
          </w:p>
        </w:tc>
        <w:tc>
          <w:tcPr>
            <w:tcW w:w="1575" w:type="dxa"/>
            <w:shd w:val="clear" w:color="auto" w:fill="auto"/>
            <w:noWrap/>
            <w:tcMar>
              <w:top w:w="10" w:type="dxa"/>
              <w:left w:w="10" w:type="dxa"/>
              <w:bottom w:w="0" w:type="dxa"/>
              <w:right w:w="10" w:type="dxa"/>
            </w:tcMar>
            <w:vAlign w:val="bottom"/>
            <w:hideMark/>
          </w:tcPr>
          <w:p w:rsidR="00773A5B" w:rsidRDefault="00773A5B" w:rsidP="00B91A3B">
            <w:pPr>
              <w:pStyle w:val="Gridtext"/>
              <w:rPr>
                <w:color w:val="000000"/>
              </w:rPr>
            </w:pPr>
            <w:r>
              <w:rPr>
                <w:color w:val="000000"/>
              </w:rPr>
              <w:t>Analysis</w:t>
            </w:r>
            <w:r w:rsidR="00573BAD">
              <w:rPr>
                <w:color w:val="000000"/>
              </w:rPr>
              <w:br/>
            </w:r>
            <w:r w:rsidR="00573BAD">
              <w:rPr>
                <w:color w:val="000000"/>
              </w:rPr>
              <w:br/>
            </w:r>
          </w:p>
        </w:tc>
      </w:tr>
      <w:tr w:rsidR="00906059"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06059" w:rsidRDefault="00906059" w:rsidP="00004942">
            <w:pPr>
              <w:pStyle w:val="Gridtext"/>
            </w:pPr>
            <w:r>
              <w:t>C1-11</w:t>
            </w:r>
            <w:r w:rsidR="00391FA5">
              <w:br/>
            </w:r>
            <w:r w:rsidR="00391FA5">
              <w:br/>
            </w:r>
          </w:p>
        </w:tc>
        <w:tc>
          <w:tcPr>
            <w:tcW w:w="2146" w:type="dxa"/>
            <w:shd w:val="clear" w:color="auto" w:fill="auto"/>
            <w:tcMar>
              <w:top w:w="10" w:type="dxa"/>
              <w:left w:w="10" w:type="dxa"/>
              <w:bottom w:w="0" w:type="dxa"/>
              <w:right w:w="10" w:type="dxa"/>
            </w:tcMar>
            <w:vAlign w:val="bottom"/>
            <w:hideMark/>
          </w:tcPr>
          <w:p w:rsidR="00906059" w:rsidRDefault="00906059" w:rsidP="00B91A3B">
            <w:pPr>
              <w:pStyle w:val="Gridtext"/>
              <w:rPr>
                <w:color w:val="000000"/>
              </w:rPr>
            </w:pPr>
            <w:r>
              <w:rPr>
                <w:color w:val="000000"/>
              </w:rPr>
              <w:t>Ethical Responsibilities</w:t>
            </w:r>
            <w:r w:rsidR="00391FA5">
              <w:rPr>
                <w:color w:val="000000"/>
              </w:rPr>
              <w:br/>
            </w:r>
            <w:r w:rsidR="00391FA5">
              <w:rPr>
                <w:color w:val="000000"/>
              </w:rPr>
              <w:br/>
            </w:r>
          </w:p>
        </w:tc>
        <w:tc>
          <w:tcPr>
            <w:tcW w:w="2862" w:type="dxa"/>
            <w:shd w:val="clear" w:color="auto" w:fill="auto"/>
            <w:tcMar>
              <w:top w:w="10" w:type="dxa"/>
              <w:left w:w="10" w:type="dxa"/>
              <w:bottom w:w="0" w:type="dxa"/>
              <w:right w:w="10" w:type="dxa"/>
            </w:tcMar>
            <w:vAlign w:val="bottom"/>
            <w:hideMark/>
          </w:tcPr>
          <w:p w:rsidR="00906059" w:rsidRDefault="00906059" w:rsidP="00773A5B">
            <w:pPr>
              <w:pStyle w:val="Gridtext"/>
              <w:rPr>
                <w:color w:val="000000"/>
              </w:rPr>
            </w:pPr>
            <w:r>
              <w:rPr>
                <w:color w:val="000000"/>
              </w:rPr>
              <w:t>Discuss steps to take in an ethical dilemma (cheating by friend on exam)</w:t>
            </w:r>
          </w:p>
        </w:tc>
        <w:tc>
          <w:tcPr>
            <w:tcW w:w="288" w:type="dxa"/>
            <w:shd w:val="clear" w:color="auto" w:fill="auto"/>
            <w:tcMar>
              <w:top w:w="10" w:type="dxa"/>
              <w:left w:w="10" w:type="dxa"/>
              <w:bottom w:w="0" w:type="dxa"/>
              <w:right w:w="10" w:type="dxa"/>
            </w:tcMar>
            <w:vAlign w:val="bottom"/>
            <w:hideMark/>
          </w:tcPr>
          <w:p w:rsidR="00906059" w:rsidRDefault="00906059" w:rsidP="008D0BB2">
            <w:pPr>
              <w:jc w:val="center"/>
              <w:rPr>
                <w:color w:val="000000"/>
                <w:szCs w:val="20"/>
              </w:rPr>
            </w:pPr>
            <w:r>
              <w:rPr>
                <w:color w:val="000000"/>
                <w:szCs w:val="20"/>
              </w:rPr>
              <w:t>8</w:t>
            </w:r>
            <w:r w:rsidR="00391FA5">
              <w:rPr>
                <w:color w:val="000000"/>
                <w:szCs w:val="20"/>
              </w:rPr>
              <w:br/>
            </w:r>
            <w:r w:rsidR="00391FA5">
              <w:rPr>
                <w:color w:val="000000"/>
                <w:szCs w:val="20"/>
              </w:rPr>
              <w:br/>
            </w:r>
          </w:p>
        </w:tc>
        <w:tc>
          <w:tcPr>
            <w:tcW w:w="717" w:type="dxa"/>
            <w:shd w:val="clear" w:color="auto" w:fill="auto"/>
            <w:noWrap/>
            <w:tcMar>
              <w:top w:w="10" w:type="dxa"/>
              <w:left w:w="10" w:type="dxa"/>
              <w:bottom w:w="0" w:type="dxa"/>
              <w:right w:w="10" w:type="dxa"/>
            </w:tcMar>
            <w:vAlign w:val="bottom"/>
            <w:hideMark/>
          </w:tcPr>
          <w:p w:rsidR="00906059" w:rsidRPr="000B4B45" w:rsidRDefault="00906059" w:rsidP="00B91A3B">
            <w:pPr>
              <w:pStyle w:val="Gridtext"/>
            </w:pPr>
          </w:p>
        </w:tc>
        <w:tc>
          <w:tcPr>
            <w:tcW w:w="125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Moderate</w:t>
            </w:r>
            <w:r w:rsidR="00573BAD">
              <w:rPr>
                <w:color w:val="000000"/>
              </w:rPr>
              <w:br/>
            </w:r>
            <w:r w:rsidR="00573BAD">
              <w:rPr>
                <w:color w:val="000000"/>
              </w:rPr>
              <w:br/>
            </w:r>
          </w:p>
        </w:tc>
        <w:tc>
          <w:tcPr>
            <w:tcW w:w="431" w:type="dxa"/>
            <w:shd w:val="clear" w:color="auto" w:fill="auto"/>
            <w:noWrap/>
            <w:tcMar>
              <w:top w:w="10" w:type="dxa"/>
              <w:left w:w="10" w:type="dxa"/>
              <w:bottom w:w="0" w:type="dxa"/>
              <w:right w:w="10" w:type="dxa"/>
            </w:tcMar>
            <w:vAlign w:val="bottom"/>
            <w:hideMark/>
          </w:tcPr>
          <w:p w:rsidR="00906059" w:rsidRDefault="00906059" w:rsidP="008D0BB2">
            <w:pPr>
              <w:pStyle w:val="Gridtext"/>
              <w:jc w:val="center"/>
              <w:rPr>
                <w:color w:val="000000"/>
              </w:rPr>
            </w:pPr>
            <w:r>
              <w:rPr>
                <w:color w:val="000000"/>
              </w:rPr>
              <w:t>5</w:t>
            </w:r>
            <w:r w:rsidR="00573BAD">
              <w:rPr>
                <w:color w:val="000000"/>
              </w:rPr>
              <w:br/>
            </w:r>
            <w:r w:rsidR="00573BAD">
              <w:rPr>
                <w:color w:val="000000"/>
              </w:rPr>
              <w:br/>
            </w:r>
          </w:p>
        </w:tc>
        <w:tc>
          <w:tcPr>
            <w:tcW w:w="1288"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Reflective Thinking</w:t>
            </w:r>
            <w:r w:rsidR="00573BAD">
              <w:rPr>
                <w:color w:val="000000"/>
              </w:rPr>
              <w:br/>
            </w:r>
          </w:p>
        </w:tc>
        <w:tc>
          <w:tcPr>
            <w:tcW w:w="143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Measurement</w:t>
            </w:r>
            <w:r w:rsidR="00573BAD">
              <w:rPr>
                <w:color w:val="000000"/>
              </w:rPr>
              <w:br/>
            </w:r>
            <w:r w:rsidR="00573BAD">
              <w:rPr>
                <w:color w:val="000000"/>
              </w:rPr>
              <w:br/>
            </w:r>
          </w:p>
        </w:tc>
        <w:tc>
          <w:tcPr>
            <w:tcW w:w="1575"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Analysis</w:t>
            </w:r>
            <w:r w:rsidR="00573BAD">
              <w:rPr>
                <w:color w:val="000000"/>
              </w:rPr>
              <w:br/>
            </w:r>
            <w:r w:rsidR="00573BAD">
              <w:rPr>
                <w:color w:val="000000"/>
              </w:rPr>
              <w:br/>
            </w:r>
          </w:p>
        </w:tc>
      </w:tr>
      <w:tr w:rsidR="00906059"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06059" w:rsidRDefault="00906059" w:rsidP="00004942">
            <w:pPr>
              <w:pStyle w:val="Gridtext"/>
            </w:pPr>
            <w:r>
              <w:t>C1-12</w:t>
            </w:r>
            <w:r w:rsidR="00391FA5">
              <w:br/>
            </w:r>
            <w:r w:rsidR="00391FA5">
              <w:br/>
            </w:r>
            <w:r w:rsidR="00391FA5">
              <w:br/>
            </w:r>
            <w:r w:rsidR="00391FA5">
              <w:br/>
            </w:r>
            <w:r w:rsidR="00391FA5">
              <w:br/>
            </w:r>
            <w:r w:rsidR="00391FA5">
              <w:br/>
            </w:r>
          </w:p>
        </w:tc>
        <w:tc>
          <w:tcPr>
            <w:tcW w:w="2146" w:type="dxa"/>
            <w:shd w:val="clear" w:color="auto" w:fill="auto"/>
            <w:tcMar>
              <w:top w:w="10" w:type="dxa"/>
              <w:left w:w="10" w:type="dxa"/>
              <w:bottom w:w="0" w:type="dxa"/>
              <w:right w:w="10" w:type="dxa"/>
            </w:tcMar>
            <w:vAlign w:val="bottom"/>
            <w:hideMark/>
          </w:tcPr>
          <w:p w:rsidR="00906059" w:rsidRDefault="00906059" w:rsidP="00B91A3B">
            <w:pPr>
              <w:pStyle w:val="Gridtext"/>
              <w:rPr>
                <w:color w:val="000000"/>
              </w:rPr>
            </w:pPr>
            <w:r>
              <w:rPr>
                <w:color w:val="000000"/>
              </w:rPr>
              <w:t>The Codification</w:t>
            </w:r>
            <w:r w:rsidR="00391FA5">
              <w:rPr>
                <w:color w:val="000000"/>
              </w:rPr>
              <w:br/>
            </w:r>
            <w:r w:rsidR="00391FA5">
              <w:rPr>
                <w:color w:val="000000"/>
              </w:rPr>
              <w:br/>
            </w:r>
            <w:r w:rsidR="00391FA5">
              <w:rPr>
                <w:color w:val="000000"/>
              </w:rPr>
              <w:br/>
            </w:r>
            <w:r w:rsidR="00391FA5">
              <w:rPr>
                <w:color w:val="000000"/>
              </w:rPr>
              <w:br/>
            </w:r>
            <w:r w:rsidR="00391FA5">
              <w:rPr>
                <w:color w:val="000000"/>
              </w:rPr>
              <w:br/>
            </w:r>
            <w:r w:rsidR="00391FA5">
              <w:rPr>
                <w:color w:val="000000"/>
              </w:rPr>
              <w:br/>
            </w:r>
          </w:p>
        </w:tc>
        <w:tc>
          <w:tcPr>
            <w:tcW w:w="2862" w:type="dxa"/>
            <w:shd w:val="clear" w:color="auto" w:fill="auto"/>
            <w:tcMar>
              <w:top w:w="10" w:type="dxa"/>
              <w:left w:w="10" w:type="dxa"/>
              <w:bottom w:w="0" w:type="dxa"/>
              <w:right w:w="10" w:type="dxa"/>
            </w:tcMar>
            <w:vAlign w:val="bottom"/>
            <w:hideMark/>
          </w:tcPr>
          <w:p w:rsidR="00906059" w:rsidRDefault="00906059" w:rsidP="00773A5B">
            <w:pPr>
              <w:pStyle w:val="Gridtext"/>
              <w:rPr>
                <w:color w:val="000000"/>
              </w:rPr>
            </w:pPr>
            <w:r>
              <w:rPr>
                <w:color w:val="000000"/>
              </w:rPr>
              <w:t>Prepare a memo to explain and demonstrate the Codification to an introductory accounting student, who is familiar with the financial statements and accounts</w:t>
            </w:r>
          </w:p>
        </w:tc>
        <w:tc>
          <w:tcPr>
            <w:tcW w:w="288" w:type="dxa"/>
            <w:shd w:val="clear" w:color="auto" w:fill="auto"/>
            <w:tcMar>
              <w:top w:w="10" w:type="dxa"/>
              <w:left w:w="10" w:type="dxa"/>
              <w:bottom w:w="0" w:type="dxa"/>
              <w:right w:w="10" w:type="dxa"/>
            </w:tcMar>
            <w:vAlign w:val="bottom"/>
            <w:hideMark/>
          </w:tcPr>
          <w:p w:rsidR="00906059" w:rsidRDefault="00906059" w:rsidP="008D0BB2">
            <w:pPr>
              <w:jc w:val="center"/>
              <w:rPr>
                <w:color w:val="000000"/>
                <w:szCs w:val="20"/>
              </w:rPr>
            </w:pPr>
          </w:p>
        </w:tc>
        <w:tc>
          <w:tcPr>
            <w:tcW w:w="717" w:type="dxa"/>
            <w:shd w:val="clear" w:color="auto" w:fill="auto"/>
            <w:noWrap/>
            <w:tcMar>
              <w:top w:w="10" w:type="dxa"/>
              <w:left w:w="10" w:type="dxa"/>
              <w:bottom w:w="0" w:type="dxa"/>
              <w:right w:w="10" w:type="dxa"/>
            </w:tcMar>
            <w:vAlign w:val="bottom"/>
            <w:hideMark/>
          </w:tcPr>
          <w:p w:rsidR="00906059" w:rsidRPr="000B4B45" w:rsidRDefault="00906059" w:rsidP="00B91A3B">
            <w:pPr>
              <w:pStyle w:val="Gridtext"/>
            </w:pPr>
          </w:p>
        </w:tc>
        <w:tc>
          <w:tcPr>
            <w:tcW w:w="125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Moderate</w:t>
            </w:r>
            <w:r w:rsidR="00573BAD">
              <w:rPr>
                <w:color w:val="000000"/>
              </w:rPr>
              <w:br/>
            </w:r>
            <w:r w:rsidR="00573BAD">
              <w:rPr>
                <w:color w:val="000000"/>
              </w:rPr>
              <w:br/>
            </w:r>
            <w:r w:rsidR="00573BAD">
              <w:rPr>
                <w:color w:val="000000"/>
              </w:rPr>
              <w:br/>
            </w:r>
            <w:r w:rsidR="00573BAD">
              <w:rPr>
                <w:color w:val="000000"/>
              </w:rPr>
              <w:br/>
            </w:r>
            <w:r w:rsidR="00573BAD">
              <w:rPr>
                <w:color w:val="000000"/>
              </w:rPr>
              <w:br/>
            </w:r>
            <w:r w:rsidR="00573BAD">
              <w:rPr>
                <w:color w:val="000000"/>
              </w:rPr>
              <w:br/>
            </w:r>
          </w:p>
        </w:tc>
        <w:tc>
          <w:tcPr>
            <w:tcW w:w="431" w:type="dxa"/>
            <w:shd w:val="clear" w:color="auto" w:fill="auto"/>
            <w:noWrap/>
            <w:tcMar>
              <w:top w:w="10" w:type="dxa"/>
              <w:left w:w="10" w:type="dxa"/>
              <w:bottom w:w="0" w:type="dxa"/>
              <w:right w:w="10" w:type="dxa"/>
            </w:tcMar>
            <w:vAlign w:val="bottom"/>
            <w:hideMark/>
          </w:tcPr>
          <w:p w:rsidR="00906059" w:rsidRDefault="00906059" w:rsidP="008D0BB2">
            <w:pPr>
              <w:pStyle w:val="Gridtext"/>
              <w:jc w:val="center"/>
              <w:rPr>
                <w:color w:val="000000"/>
              </w:rPr>
            </w:pPr>
            <w:r>
              <w:rPr>
                <w:color w:val="000000"/>
              </w:rPr>
              <w:t>25</w:t>
            </w:r>
            <w:r w:rsidR="00573BAD">
              <w:rPr>
                <w:color w:val="000000"/>
              </w:rPr>
              <w:br/>
            </w:r>
            <w:r w:rsidR="00573BAD">
              <w:rPr>
                <w:color w:val="000000"/>
              </w:rPr>
              <w:br/>
            </w:r>
            <w:r w:rsidR="00573BAD">
              <w:rPr>
                <w:color w:val="000000"/>
              </w:rPr>
              <w:br/>
            </w:r>
            <w:r w:rsidR="00573BAD">
              <w:rPr>
                <w:color w:val="000000"/>
              </w:rPr>
              <w:br/>
            </w:r>
            <w:r w:rsidR="00573BAD">
              <w:rPr>
                <w:color w:val="000000"/>
              </w:rPr>
              <w:br/>
            </w:r>
            <w:r w:rsidR="00573BAD">
              <w:rPr>
                <w:color w:val="000000"/>
              </w:rPr>
              <w:br/>
            </w:r>
          </w:p>
        </w:tc>
        <w:tc>
          <w:tcPr>
            <w:tcW w:w="1288"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Analytic</w:t>
            </w:r>
            <w:r w:rsidR="00573BAD">
              <w:rPr>
                <w:color w:val="000000"/>
              </w:rPr>
              <w:br/>
            </w:r>
            <w:r w:rsidR="00573BAD">
              <w:rPr>
                <w:color w:val="000000"/>
              </w:rPr>
              <w:br/>
            </w:r>
            <w:r w:rsidR="00573BAD">
              <w:rPr>
                <w:color w:val="000000"/>
              </w:rPr>
              <w:br/>
            </w:r>
            <w:r w:rsidR="00573BAD">
              <w:rPr>
                <w:color w:val="000000"/>
              </w:rPr>
              <w:br/>
            </w:r>
            <w:r w:rsidR="00573BAD">
              <w:rPr>
                <w:color w:val="000000"/>
              </w:rPr>
              <w:br/>
            </w:r>
            <w:r w:rsidR="00573BAD">
              <w:rPr>
                <w:color w:val="000000"/>
              </w:rPr>
              <w:br/>
            </w:r>
          </w:p>
        </w:tc>
        <w:tc>
          <w:tcPr>
            <w:tcW w:w="143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Measurement</w:t>
            </w:r>
            <w:r w:rsidR="00573BAD">
              <w:rPr>
                <w:color w:val="000000"/>
              </w:rPr>
              <w:br/>
            </w:r>
            <w:r w:rsidR="00573BAD">
              <w:rPr>
                <w:color w:val="000000"/>
              </w:rPr>
              <w:br/>
            </w:r>
            <w:r w:rsidR="00573BAD">
              <w:rPr>
                <w:color w:val="000000"/>
              </w:rPr>
              <w:br/>
            </w:r>
            <w:r w:rsidR="00573BAD">
              <w:rPr>
                <w:color w:val="000000"/>
              </w:rPr>
              <w:br/>
            </w:r>
            <w:r w:rsidR="00573BAD">
              <w:rPr>
                <w:color w:val="000000"/>
              </w:rPr>
              <w:br/>
            </w:r>
            <w:r w:rsidR="00573BAD">
              <w:rPr>
                <w:color w:val="000000"/>
              </w:rPr>
              <w:br/>
            </w:r>
          </w:p>
        </w:tc>
        <w:tc>
          <w:tcPr>
            <w:tcW w:w="1575"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Application</w:t>
            </w:r>
            <w:r w:rsidR="00573BAD">
              <w:rPr>
                <w:color w:val="000000"/>
              </w:rPr>
              <w:br/>
            </w:r>
            <w:r w:rsidR="00573BAD">
              <w:rPr>
                <w:color w:val="000000"/>
              </w:rPr>
              <w:br/>
            </w:r>
            <w:r w:rsidR="00573BAD">
              <w:rPr>
                <w:color w:val="000000"/>
              </w:rPr>
              <w:br/>
            </w:r>
            <w:r w:rsidR="00573BAD">
              <w:rPr>
                <w:color w:val="000000"/>
              </w:rPr>
              <w:br/>
            </w:r>
            <w:r w:rsidR="00573BAD">
              <w:rPr>
                <w:color w:val="000000"/>
              </w:rPr>
              <w:br/>
            </w:r>
            <w:r w:rsidR="00573BAD">
              <w:rPr>
                <w:color w:val="000000"/>
              </w:rPr>
              <w:br/>
            </w:r>
          </w:p>
        </w:tc>
      </w:tr>
      <w:tr w:rsidR="00906059"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06059" w:rsidRDefault="00906059" w:rsidP="00004942">
            <w:pPr>
              <w:pStyle w:val="Gridtext"/>
            </w:pPr>
            <w:r>
              <w:t>C1-13</w:t>
            </w:r>
            <w:r w:rsidR="00391FA5">
              <w:br/>
            </w:r>
            <w:r w:rsidR="00391FA5">
              <w:br/>
            </w:r>
            <w:r w:rsidR="00391FA5">
              <w:br/>
            </w:r>
            <w:r w:rsidR="00391FA5">
              <w:br/>
            </w:r>
          </w:p>
        </w:tc>
        <w:tc>
          <w:tcPr>
            <w:tcW w:w="2146" w:type="dxa"/>
            <w:shd w:val="clear" w:color="auto" w:fill="auto"/>
            <w:tcMar>
              <w:top w:w="10" w:type="dxa"/>
              <w:left w:w="10" w:type="dxa"/>
              <w:bottom w:w="0" w:type="dxa"/>
              <w:right w:w="10" w:type="dxa"/>
            </w:tcMar>
            <w:vAlign w:val="bottom"/>
            <w:hideMark/>
          </w:tcPr>
          <w:p w:rsidR="00906059" w:rsidRDefault="00906059" w:rsidP="00B91A3B">
            <w:pPr>
              <w:pStyle w:val="Gridtext"/>
              <w:rPr>
                <w:color w:val="000000"/>
              </w:rPr>
            </w:pPr>
            <w:r>
              <w:rPr>
                <w:color w:val="000000"/>
              </w:rPr>
              <w:t>The Codification</w:t>
            </w:r>
            <w:r w:rsidR="00391FA5">
              <w:rPr>
                <w:color w:val="000000"/>
              </w:rPr>
              <w:br/>
            </w:r>
            <w:r w:rsidR="00391FA5">
              <w:rPr>
                <w:color w:val="000000"/>
              </w:rPr>
              <w:br/>
            </w:r>
            <w:r w:rsidR="00391FA5">
              <w:rPr>
                <w:color w:val="000000"/>
              </w:rPr>
              <w:br/>
            </w:r>
            <w:r w:rsidR="00391FA5">
              <w:rPr>
                <w:color w:val="000000"/>
              </w:rPr>
              <w:br/>
            </w:r>
          </w:p>
        </w:tc>
        <w:tc>
          <w:tcPr>
            <w:tcW w:w="2862" w:type="dxa"/>
            <w:shd w:val="clear" w:color="auto" w:fill="auto"/>
            <w:tcMar>
              <w:top w:w="10" w:type="dxa"/>
              <w:left w:w="10" w:type="dxa"/>
              <w:bottom w:w="0" w:type="dxa"/>
              <w:right w:w="10" w:type="dxa"/>
            </w:tcMar>
            <w:vAlign w:val="bottom"/>
            <w:hideMark/>
          </w:tcPr>
          <w:p w:rsidR="00906059" w:rsidRDefault="00906059" w:rsidP="00773A5B">
            <w:pPr>
              <w:pStyle w:val="Gridtext"/>
              <w:rPr>
                <w:color w:val="000000"/>
              </w:rPr>
            </w:pPr>
            <w:r>
              <w:rPr>
                <w:color w:val="000000"/>
              </w:rPr>
              <w:t>Search the Codification to determine how a company should account for the cost of a new desktop computer for use in the office</w:t>
            </w:r>
          </w:p>
        </w:tc>
        <w:tc>
          <w:tcPr>
            <w:tcW w:w="288" w:type="dxa"/>
            <w:shd w:val="clear" w:color="auto" w:fill="auto"/>
            <w:tcMar>
              <w:top w:w="10" w:type="dxa"/>
              <w:left w:w="10" w:type="dxa"/>
              <w:bottom w:w="0" w:type="dxa"/>
              <w:right w:w="10" w:type="dxa"/>
            </w:tcMar>
            <w:vAlign w:val="bottom"/>
            <w:hideMark/>
          </w:tcPr>
          <w:p w:rsidR="00906059" w:rsidRDefault="00906059" w:rsidP="008D0BB2">
            <w:pPr>
              <w:jc w:val="center"/>
              <w:rPr>
                <w:color w:val="000000"/>
                <w:szCs w:val="20"/>
              </w:rPr>
            </w:pPr>
          </w:p>
        </w:tc>
        <w:tc>
          <w:tcPr>
            <w:tcW w:w="717" w:type="dxa"/>
            <w:shd w:val="clear" w:color="auto" w:fill="auto"/>
            <w:noWrap/>
            <w:tcMar>
              <w:top w:w="10" w:type="dxa"/>
              <w:left w:w="10" w:type="dxa"/>
              <w:bottom w:w="0" w:type="dxa"/>
              <w:right w:w="10" w:type="dxa"/>
            </w:tcMar>
            <w:vAlign w:val="bottom"/>
            <w:hideMark/>
          </w:tcPr>
          <w:p w:rsidR="00906059" w:rsidRPr="000B4B45" w:rsidRDefault="00906059" w:rsidP="00B91A3B">
            <w:pPr>
              <w:pStyle w:val="Gridtext"/>
            </w:pPr>
          </w:p>
        </w:tc>
        <w:tc>
          <w:tcPr>
            <w:tcW w:w="125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Moderate</w:t>
            </w:r>
            <w:r w:rsidR="00573BAD">
              <w:rPr>
                <w:color w:val="000000"/>
              </w:rPr>
              <w:br/>
            </w:r>
            <w:r w:rsidR="00573BAD">
              <w:rPr>
                <w:color w:val="000000"/>
              </w:rPr>
              <w:br/>
            </w:r>
            <w:r w:rsidR="00573BAD">
              <w:rPr>
                <w:color w:val="000000"/>
              </w:rPr>
              <w:br/>
            </w:r>
            <w:r w:rsidR="00573BAD">
              <w:rPr>
                <w:color w:val="000000"/>
              </w:rPr>
              <w:br/>
            </w:r>
          </w:p>
        </w:tc>
        <w:tc>
          <w:tcPr>
            <w:tcW w:w="431" w:type="dxa"/>
            <w:shd w:val="clear" w:color="auto" w:fill="auto"/>
            <w:noWrap/>
            <w:tcMar>
              <w:top w:w="10" w:type="dxa"/>
              <w:left w:w="10" w:type="dxa"/>
              <w:bottom w:w="0" w:type="dxa"/>
              <w:right w:w="10" w:type="dxa"/>
            </w:tcMar>
            <w:vAlign w:val="bottom"/>
            <w:hideMark/>
          </w:tcPr>
          <w:p w:rsidR="00906059" w:rsidRDefault="00906059" w:rsidP="008D0BB2">
            <w:pPr>
              <w:pStyle w:val="Gridtext"/>
              <w:jc w:val="center"/>
              <w:rPr>
                <w:color w:val="000000"/>
              </w:rPr>
            </w:pPr>
            <w:r>
              <w:rPr>
                <w:color w:val="000000"/>
              </w:rPr>
              <w:t>15</w:t>
            </w:r>
            <w:r w:rsidR="00573BAD">
              <w:rPr>
                <w:color w:val="000000"/>
              </w:rPr>
              <w:br/>
            </w:r>
            <w:r w:rsidR="00573BAD">
              <w:rPr>
                <w:color w:val="000000"/>
              </w:rPr>
              <w:br/>
            </w:r>
            <w:r w:rsidR="00573BAD">
              <w:rPr>
                <w:color w:val="000000"/>
              </w:rPr>
              <w:br/>
            </w:r>
            <w:r w:rsidR="00573BAD">
              <w:rPr>
                <w:color w:val="000000"/>
              </w:rPr>
              <w:br/>
            </w:r>
          </w:p>
        </w:tc>
        <w:tc>
          <w:tcPr>
            <w:tcW w:w="1288"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Analytic</w:t>
            </w:r>
            <w:r w:rsidR="00573BAD">
              <w:rPr>
                <w:color w:val="000000"/>
              </w:rPr>
              <w:br/>
            </w:r>
            <w:r w:rsidR="00573BAD">
              <w:rPr>
                <w:color w:val="000000"/>
              </w:rPr>
              <w:br/>
            </w:r>
            <w:r w:rsidR="00573BAD">
              <w:rPr>
                <w:color w:val="000000"/>
              </w:rPr>
              <w:br/>
            </w:r>
            <w:r w:rsidR="00573BAD">
              <w:rPr>
                <w:color w:val="000000"/>
              </w:rPr>
              <w:br/>
            </w:r>
          </w:p>
        </w:tc>
        <w:tc>
          <w:tcPr>
            <w:tcW w:w="143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Measurement</w:t>
            </w:r>
            <w:r w:rsidR="00573BAD">
              <w:rPr>
                <w:color w:val="000000"/>
              </w:rPr>
              <w:br/>
            </w:r>
            <w:r w:rsidR="00573BAD">
              <w:rPr>
                <w:color w:val="000000"/>
              </w:rPr>
              <w:br/>
            </w:r>
            <w:r w:rsidR="00573BAD">
              <w:rPr>
                <w:color w:val="000000"/>
              </w:rPr>
              <w:br/>
            </w:r>
            <w:r w:rsidR="00573BAD">
              <w:rPr>
                <w:color w:val="000000"/>
              </w:rPr>
              <w:br/>
            </w:r>
          </w:p>
        </w:tc>
        <w:tc>
          <w:tcPr>
            <w:tcW w:w="1575"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Application</w:t>
            </w:r>
            <w:r w:rsidR="00573BAD">
              <w:rPr>
                <w:color w:val="000000"/>
              </w:rPr>
              <w:br/>
            </w:r>
            <w:r w:rsidR="00573BAD">
              <w:rPr>
                <w:color w:val="000000"/>
              </w:rPr>
              <w:br/>
            </w:r>
            <w:r w:rsidR="00573BAD">
              <w:rPr>
                <w:color w:val="000000"/>
              </w:rPr>
              <w:br/>
            </w:r>
            <w:r w:rsidR="00573BAD">
              <w:rPr>
                <w:color w:val="000000"/>
              </w:rPr>
              <w:br/>
            </w:r>
          </w:p>
        </w:tc>
      </w:tr>
      <w:tr w:rsidR="00906059" w:rsidRPr="000B4B45" w:rsidTr="00892E6D">
        <w:trPr>
          <w:trHeight w:val="300"/>
        </w:trPr>
        <w:tc>
          <w:tcPr>
            <w:tcW w:w="825" w:type="dxa"/>
            <w:shd w:val="clear" w:color="auto" w:fill="auto"/>
            <w:noWrap/>
            <w:tcMar>
              <w:top w:w="10" w:type="dxa"/>
              <w:left w:w="10" w:type="dxa"/>
              <w:bottom w:w="0" w:type="dxa"/>
              <w:right w:w="10" w:type="dxa"/>
            </w:tcMar>
            <w:vAlign w:val="bottom"/>
            <w:hideMark/>
          </w:tcPr>
          <w:p w:rsidR="00906059" w:rsidRDefault="00906059" w:rsidP="00004942">
            <w:pPr>
              <w:pStyle w:val="Gridtext"/>
            </w:pPr>
            <w:r>
              <w:t>C1-14</w:t>
            </w:r>
            <w:r w:rsidR="00391FA5">
              <w:br/>
            </w:r>
            <w:r w:rsidR="00391FA5">
              <w:br/>
            </w:r>
            <w:r w:rsidR="00391FA5">
              <w:br/>
            </w:r>
            <w:r w:rsidR="00391FA5">
              <w:br/>
            </w:r>
          </w:p>
        </w:tc>
        <w:tc>
          <w:tcPr>
            <w:tcW w:w="2146" w:type="dxa"/>
            <w:shd w:val="clear" w:color="auto" w:fill="auto"/>
            <w:tcMar>
              <w:top w:w="10" w:type="dxa"/>
              <w:left w:w="10" w:type="dxa"/>
              <w:bottom w:w="0" w:type="dxa"/>
              <w:right w:w="10" w:type="dxa"/>
            </w:tcMar>
            <w:vAlign w:val="bottom"/>
            <w:hideMark/>
          </w:tcPr>
          <w:p w:rsidR="00906059" w:rsidRDefault="00906059" w:rsidP="00B91A3B">
            <w:pPr>
              <w:pStyle w:val="Gridtext"/>
              <w:rPr>
                <w:color w:val="000000"/>
              </w:rPr>
            </w:pPr>
            <w:r>
              <w:rPr>
                <w:color w:val="000000"/>
              </w:rPr>
              <w:t>The Codification</w:t>
            </w:r>
            <w:r w:rsidR="00391FA5">
              <w:rPr>
                <w:color w:val="000000"/>
              </w:rPr>
              <w:br/>
            </w:r>
            <w:r w:rsidR="00391FA5">
              <w:rPr>
                <w:color w:val="000000"/>
              </w:rPr>
              <w:br/>
            </w:r>
            <w:r w:rsidR="00391FA5">
              <w:rPr>
                <w:color w:val="000000"/>
              </w:rPr>
              <w:br/>
            </w:r>
            <w:r w:rsidR="00391FA5">
              <w:rPr>
                <w:color w:val="000000"/>
              </w:rPr>
              <w:br/>
            </w:r>
          </w:p>
        </w:tc>
        <w:tc>
          <w:tcPr>
            <w:tcW w:w="2862" w:type="dxa"/>
            <w:shd w:val="clear" w:color="auto" w:fill="auto"/>
            <w:tcMar>
              <w:top w:w="10" w:type="dxa"/>
              <w:left w:w="10" w:type="dxa"/>
              <w:bottom w:w="0" w:type="dxa"/>
              <w:right w:w="10" w:type="dxa"/>
            </w:tcMar>
            <w:vAlign w:val="bottom"/>
            <w:hideMark/>
          </w:tcPr>
          <w:p w:rsidR="00906059" w:rsidRDefault="00906059" w:rsidP="00773A5B">
            <w:pPr>
              <w:pStyle w:val="Gridtext"/>
              <w:rPr>
                <w:color w:val="000000"/>
              </w:rPr>
            </w:pPr>
            <w:r>
              <w:rPr>
                <w:color w:val="000000"/>
              </w:rPr>
              <w:t>Search the Codification to determine how a company should account for recognition of retail revenues with the right to return</w:t>
            </w:r>
          </w:p>
        </w:tc>
        <w:tc>
          <w:tcPr>
            <w:tcW w:w="288" w:type="dxa"/>
            <w:shd w:val="clear" w:color="auto" w:fill="auto"/>
            <w:tcMar>
              <w:top w:w="10" w:type="dxa"/>
              <w:left w:w="10" w:type="dxa"/>
              <w:bottom w:w="0" w:type="dxa"/>
              <w:right w:w="10" w:type="dxa"/>
            </w:tcMar>
            <w:vAlign w:val="bottom"/>
            <w:hideMark/>
          </w:tcPr>
          <w:p w:rsidR="00906059" w:rsidRDefault="00906059" w:rsidP="008D0BB2">
            <w:pPr>
              <w:jc w:val="center"/>
              <w:rPr>
                <w:color w:val="000000"/>
                <w:szCs w:val="20"/>
              </w:rPr>
            </w:pPr>
          </w:p>
        </w:tc>
        <w:tc>
          <w:tcPr>
            <w:tcW w:w="717" w:type="dxa"/>
            <w:shd w:val="clear" w:color="auto" w:fill="auto"/>
            <w:noWrap/>
            <w:tcMar>
              <w:top w:w="10" w:type="dxa"/>
              <w:left w:w="10" w:type="dxa"/>
              <w:bottom w:w="0" w:type="dxa"/>
              <w:right w:w="10" w:type="dxa"/>
            </w:tcMar>
            <w:vAlign w:val="bottom"/>
            <w:hideMark/>
          </w:tcPr>
          <w:p w:rsidR="00906059" w:rsidRPr="000B4B45" w:rsidRDefault="00906059" w:rsidP="00B91A3B">
            <w:pPr>
              <w:pStyle w:val="Gridtext"/>
            </w:pPr>
          </w:p>
        </w:tc>
        <w:tc>
          <w:tcPr>
            <w:tcW w:w="125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Moderate</w:t>
            </w:r>
            <w:r w:rsidR="00573BAD">
              <w:rPr>
                <w:color w:val="000000"/>
              </w:rPr>
              <w:br/>
            </w:r>
            <w:r w:rsidR="00573BAD">
              <w:rPr>
                <w:color w:val="000000"/>
              </w:rPr>
              <w:br/>
            </w:r>
            <w:r w:rsidR="00573BAD">
              <w:rPr>
                <w:color w:val="000000"/>
              </w:rPr>
              <w:br/>
            </w:r>
            <w:r w:rsidR="00573BAD">
              <w:rPr>
                <w:color w:val="000000"/>
              </w:rPr>
              <w:br/>
            </w:r>
          </w:p>
        </w:tc>
        <w:tc>
          <w:tcPr>
            <w:tcW w:w="431" w:type="dxa"/>
            <w:shd w:val="clear" w:color="auto" w:fill="auto"/>
            <w:noWrap/>
            <w:tcMar>
              <w:top w:w="10" w:type="dxa"/>
              <w:left w:w="10" w:type="dxa"/>
              <w:bottom w:w="0" w:type="dxa"/>
              <w:right w:w="10" w:type="dxa"/>
            </w:tcMar>
            <w:vAlign w:val="bottom"/>
            <w:hideMark/>
          </w:tcPr>
          <w:p w:rsidR="00906059" w:rsidRDefault="00906059" w:rsidP="008D0BB2">
            <w:pPr>
              <w:pStyle w:val="Gridtext"/>
              <w:jc w:val="center"/>
              <w:rPr>
                <w:color w:val="000000"/>
              </w:rPr>
            </w:pPr>
            <w:r>
              <w:rPr>
                <w:color w:val="000000"/>
              </w:rPr>
              <w:t>25</w:t>
            </w:r>
            <w:r w:rsidR="00573BAD">
              <w:rPr>
                <w:color w:val="000000"/>
              </w:rPr>
              <w:br/>
            </w:r>
            <w:r w:rsidR="00573BAD">
              <w:rPr>
                <w:color w:val="000000"/>
              </w:rPr>
              <w:br/>
            </w:r>
            <w:r w:rsidR="00573BAD">
              <w:rPr>
                <w:color w:val="000000"/>
              </w:rPr>
              <w:br/>
            </w:r>
            <w:r w:rsidR="00573BAD">
              <w:rPr>
                <w:color w:val="000000"/>
              </w:rPr>
              <w:br/>
            </w:r>
          </w:p>
        </w:tc>
        <w:tc>
          <w:tcPr>
            <w:tcW w:w="1288"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Analytic</w:t>
            </w:r>
            <w:r w:rsidR="00573BAD">
              <w:rPr>
                <w:color w:val="000000"/>
              </w:rPr>
              <w:br/>
            </w:r>
            <w:r w:rsidR="00573BAD">
              <w:rPr>
                <w:color w:val="000000"/>
              </w:rPr>
              <w:br/>
            </w:r>
            <w:r w:rsidR="00573BAD">
              <w:rPr>
                <w:color w:val="000000"/>
              </w:rPr>
              <w:br/>
            </w:r>
            <w:r w:rsidR="00573BAD">
              <w:rPr>
                <w:color w:val="000000"/>
              </w:rPr>
              <w:br/>
            </w:r>
          </w:p>
        </w:tc>
        <w:tc>
          <w:tcPr>
            <w:tcW w:w="1432"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Measurement</w:t>
            </w:r>
            <w:r w:rsidR="00573BAD">
              <w:rPr>
                <w:color w:val="000000"/>
              </w:rPr>
              <w:br/>
            </w:r>
            <w:r w:rsidR="00573BAD">
              <w:rPr>
                <w:color w:val="000000"/>
              </w:rPr>
              <w:br/>
            </w:r>
            <w:r w:rsidR="00573BAD">
              <w:rPr>
                <w:color w:val="000000"/>
              </w:rPr>
              <w:br/>
            </w:r>
            <w:r w:rsidR="00573BAD">
              <w:rPr>
                <w:color w:val="000000"/>
              </w:rPr>
              <w:br/>
            </w:r>
          </w:p>
        </w:tc>
        <w:tc>
          <w:tcPr>
            <w:tcW w:w="1575" w:type="dxa"/>
            <w:shd w:val="clear" w:color="auto" w:fill="auto"/>
            <w:noWrap/>
            <w:tcMar>
              <w:top w:w="10" w:type="dxa"/>
              <w:left w:w="10" w:type="dxa"/>
              <w:bottom w:w="0" w:type="dxa"/>
              <w:right w:w="10" w:type="dxa"/>
            </w:tcMar>
            <w:vAlign w:val="bottom"/>
            <w:hideMark/>
          </w:tcPr>
          <w:p w:rsidR="00906059" w:rsidRDefault="00906059" w:rsidP="00B91A3B">
            <w:pPr>
              <w:pStyle w:val="Gridtext"/>
              <w:rPr>
                <w:color w:val="000000"/>
              </w:rPr>
            </w:pPr>
            <w:r>
              <w:rPr>
                <w:color w:val="000000"/>
              </w:rPr>
              <w:t>Application</w:t>
            </w:r>
            <w:r w:rsidR="00573BAD">
              <w:rPr>
                <w:color w:val="000000"/>
              </w:rPr>
              <w:br/>
            </w:r>
            <w:r w:rsidR="00573BAD">
              <w:rPr>
                <w:color w:val="000000"/>
              </w:rPr>
              <w:br/>
            </w:r>
            <w:r w:rsidR="00573BAD">
              <w:rPr>
                <w:color w:val="000000"/>
              </w:rPr>
              <w:br/>
            </w:r>
            <w:r w:rsidR="00573BAD">
              <w:rPr>
                <w:color w:val="000000"/>
              </w:rPr>
              <w:br/>
            </w:r>
          </w:p>
        </w:tc>
      </w:tr>
    </w:tbl>
    <w:p w:rsidR="008777E2" w:rsidRDefault="008777E2">
      <w:pPr>
        <w:widowControl/>
        <w:autoSpaceDE/>
        <w:autoSpaceDN/>
        <w:adjustRightInd/>
        <w:rPr>
          <w:rFonts w:cs="Arial"/>
          <w:szCs w:val="22"/>
          <w:u w:val="single"/>
        </w:rPr>
      </w:pPr>
    </w:p>
    <w:p w:rsidR="00650C05" w:rsidRDefault="00650C05" w:rsidP="00A85F85">
      <w:pPr>
        <w:pStyle w:val="SubHeading"/>
        <w:sectPr w:rsidR="00650C05" w:rsidSect="00650C05">
          <w:headerReference w:type="default" r:id="rId8"/>
          <w:endnotePr>
            <w:numFmt w:val="decimal"/>
          </w:endnotePr>
          <w:type w:val="continuous"/>
          <w:pgSz w:w="15840" w:h="12240" w:orient="landscape" w:code="1"/>
          <w:pgMar w:top="1440" w:right="1440" w:bottom="1440" w:left="1440" w:header="1440" w:footer="864" w:gutter="0"/>
          <w:cols w:space="720"/>
          <w:noEndnote/>
          <w:docGrid w:linePitch="272"/>
        </w:sectPr>
      </w:pPr>
    </w:p>
    <w:p w:rsidR="00DB6794" w:rsidRDefault="00DB6794" w:rsidP="00A85F85">
      <w:pPr>
        <w:pStyle w:val="SubHeading"/>
      </w:pPr>
      <w:r>
        <w:lastRenderedPageBreak/>
        <w:t>ANSWERS TO QUESTIONS</w:t>
      </w:r>
    </w:p>
    <w:p w:rsidR="00DB6794" w:rsidRDefault="00DB6794" w:rsidP="0080110B">
      <w:pPr>
        <w:pStyle w:val="text"/>
      </w:pPr>
    </w:p>
    <w:p w:rsidR="00DB6794" w:rsidRPr="006934F4" w:rsidRDefault="00DB6794" w:rsidP="006934F4">
      <w:pPr>
        <w:pStyle w:val="QA"/>
      </w:pPr>
      <w:r w:rsidRPr="00581317">
        <w:rPr>
          <w:u w:val="single"/>
        </w:rPr>
        <w:t>Q1-1</w:t>
      </w:r>
      <w:r w:rsidRPr="006934F4">
        <w:tab/>
      </w:r>
      <w:r w:rsidR="00D306B1" w:rsidRPr="006934F4">
        <w:t xml:space="preserve">The role of financial accounting is to identify, measure, record, and report relevant and reliable financial information about companies to present and potential future stakeholders. </w:t>
      </w:r>
      <w:r w:rsidR="00910EDC" w:rsidRPr="006934F4">
        <w:t>Financial reporting is the process of communicating financial accounting information about a company to existing and potential future investors, creditors, and other external decision makers and stakeholders.</w:t>
      </w:r>
      <w:r w:rsidR="00910EDC" w:rsidRPr="006934F4">
        <w:rPr>
          <w:b/>
        </w:rPr>
        <w:t xml:space="preserve"> </w:t>
      </w:r>
      <w:r w:rsidR="003049A3" w:rsidRPr="006934F4">
        <w:t>An important way a company</w:t>
      </w:r>
      <w:r w:rsidR="0077707C">
        <w:t>’</w:t>
      </w:r>
      <w:r w:rsidR="003049A3" w:rsidRPr="006934F4">
        <w:t xml:space="preserve">s financial accounting information is reported is in its </w:t>
      </w:r>
      <w:r w:rsidR="002401D5" w:rsidRPr="006934F4">
        <w:t xml:space="preserve">quarterly and </w:t>
      </w:r>
      <w:r w:rsidR="003049A3" w:rsidRPr="006934F4">
        <w:t>annual report</w:t>
      </w:r>
      <w:r w:rsidR="002401D5" w:rsidRPr="006934F4">
        <w:t>s</w:t>
      </w:r>
      <w:r w:rsidR="003049A3" w:rsidRPr="006934F4">
        <w:t>.</w:t>
      </w:r>
      <w:r w:rsidR="002401D5" w:rsidRPr="006934F4">
        <w:t xml:space="preserve"> The role of financial reporting is to inform investors, creditors, and other stakeholders. Financial reporting also provides information to mitigate agency problems which stem from the separation of ownership and control of resources.</w:t>
      </w:r>
    </w:p>
    <w:p w:rsidR="00DB6794" w:rsidRDefault="00DB6794" w:rsidP="006934F4">
      <w:pPr>
        <w:pStyle w:val="QA"/>
      </w:pPr>
    </w:p>
    <w:p w:rsidR="00DB6794" w:rsidRDefault="00DB6794" w:rsidP="006934F4">
      <w:pPr>
        <w:pStyle w:val="QA"/>
      </w:pPr>
      <w:r>
        <w:rPr>
          <w:u w:val="single"/>
        </w:rPr>
        <w:t>Q1-2</w:t>
      </w:r>
      <w:r>
        <w:tab/>
        <w:t xml:space="preserve">The </w:t>
      </w:r>
      <w:r w:rsidR="002401D5">
        <w:t xml:space="preserve">primary stakeholders that are important </w:t>
      </w:r>
      <w:r>
        <w:t xml:space="preserve">users of financial information </w:t>
      </w:r>
      <w:r w:rsidR="002401D5">
        <w:t>include investors, creditors, b</w:t>
      </w:r>
      <w:r w:rsidR="002401D5" w:rsidRPr="002401D5">
        <w:t xml:space="preserve">anks, </w:t>
      </w:r>
      <w:r w:rsidR="002401D5">
        <w:t>s</w:t>
      </w:r>
      <w:r w:rsidR="002401D5" w:rsidRPr="002401D5">
        <w:t xml:space="preserve">uppliers, </w:t>
      </w:r>
      <w:r w:rsidR="002401D5">
        <w:t>customers, e</w:t>
      </w:r>
      <w:r w:rsidR="002401D5" w:rsidRPr="002401D5">
        <w:t xml:space="preserve">mployees, </w:t>
      </w:r>
      <w:r w:rsidR="002401D5">
        <w:t>executives, l</w:t>
      </w:r>
      <w:r w:rsidR="002401D5" w:rsidRPr="002401D5">
        <w:t xml:space="preserve">abor </w:t>
      </w:r>
      <w:r w:rsidR="002401D5">
        <w:t>u</w:t>
      </w:r>
      <w:r w:rsidR="002401D5" w:rsidRPr="002401D5">
        <w:t xml:space="preserve">nions, </w:t>
      </w:r>
      <w:r w:rsidR="002401D5">
        <w:t>p</w:t>
      </w:r>
      <w:r w:rsidR="002401D5" w:rsidRPr="002401D5">
        <w:t xml:space="preserve">ension </w:t>
      </w:r>
      <w:r w:rsidR="002401D5">
        <w:t>f</w:t>
      </w:r>
      <w:r w:rsidR="002401D5" w:rsidRPr="002401D5">
        <w:t xml:space="preserve">unds, </w:t>
      </w:r>
      <w:r w:rsidR="002401D5">
        <w:t>g</w:t>
      </w:r>
      <w:r w:rsidR="002401D5" w:rsidRPr="002401D5">
        <w:t xml:space="preserve">overnment </w:t>
      </w:r>
      <w:r w:rsidR="002401D5">
        <w:t>r</w:t>
      </w:r>
      <w:r w:rsidR="002401D5" w:rsidRPr="002401D5">
        <w:t xml:space="preserve">egulatory </w:t>
      </w:r>
      <w:r w:rsidR="002401D5">
        <w:t>a</w:t>
      </w:r>
      <w:r w:rsidR="002401D5" w:rsidRPr="002401D5">
        <w:t xml:space="preserve">uthorities, </w:t>
      </w:r>
      <w:r w:rsidR="002401D5">
        <w:t>tax a</w:t>
      </w:r>
      <w:r w:rsidR="002401D5" w:rsidRPr="002401D5">
        <w:t xml:space="preserve">uthorities, </w:t>
      </w:r>
      <w:r w:rsidR="002401D5">
        <w:t>l</w:t>
      </w:r>
      <w:r w:rsidR="002401D5" w:rsidRPr="002401D5">
        <w:t xml:space="preserve">ocal </w:t>
      </w:r>
      <w:r w:rsidR="002401D5">
        <w:t>c</w:t>
      </w:r>
      <w:r w:rsidR="002401D5" w:rsidRPr="002401D5">
        <w:t xml:space="preserve">ommunities, </w:t>
      </w:r>
      <w:r w:rsidR="0066321C">
        <w:t xml:space="preserve">and </w:t>
      </w:r>
      <w:r w:rsidR="002401D5">
        <w:t>m</w:t>
      </w:r>
      <w:r w:rsidR="002401D5" w:rsidRPr="002401D5">
        <w:t xml:space="preserve">any </w:t>
      </w:r>
      <w:r w:rsidR="002401D5">
        <w:t>o</w:t>
      </w:r>
      <w:r w:rsidR="002401D5" w:rsidRPr="002401D5">
        <w:t>thers</w:t>
      </w:r>
      <w:r w:rsidR="002401D5">
        <w:t xml:space="preserve"> (see Exhibit 1.1). The instructor can discuss how these stakeholders </w:t>
      </w:r>
      <w:r>
        <w:t xml:space="preserve">can be divided into two major categories: external users and internal users. These two groups do not have the same decision making information needs because of their differing relationships with the company providing economic information. </w:t>
      </w:r>
      <w:r w:rsidR="002401D5">
        <w:t>Of these groups, FASB has stated the primary purpose of financial reporting is to inform investors and creditors</w:t>
      </w:r>
      <w:r>
        <w:t>.</w:t>
      </w:r>
    </w:p>
    <w:p w:rsidR="006F51F5" w:rsidRDefault="006F51F5">
      <w:pPr>
        <w:widowControl/>
        <w:autoSpaceDE/>
        <w:autoSpaceDN/>
        <w:adjustRightInd/>
        <w:rPr>
          <w:rFonts w:ascii="Arial" w:hAnsi="Arial" w:cs="Arial"/>
          <w:sz w:val="22"/>
          <w:szCs w:val="22"/>
          <w:u w:val="single"/>
        </w:rPr>
      </w:pPr>
    </w:p>
    <w:p w:rsidR="00DB6794" w:rsidRDefault="00DB6794" w:rsidP="006934F4">
      <w:pPr>
        <w:pStyle w:val="QA"/>
      </w:pPr>
      <w:r>
        <w:rPr>
          <w:u w:val="single"/>
        </w:rPr>
        <w:t>Q1-3</w:t>
      </w:r>
      <w:r>
        <w:tab/>
      </w:r>
      <w:r w:rsidR="005F473B">
        <w:t>Investors and creditors take different risks and enjoy different potential upside</w:t>
      </w:r>
      <w:r w:rsidR="0097381E">
        <w:t xml:space="preserve"> gains from investing or lending</w:t>
      </w:r>
      <w:r w:rsidR="005F473B">
        <w:t>. Equity investors are the residual risk bearers of corporations, but stand to enjoy potentially greater upside if the company is successful and profitable. Creditors face less risk of loss of their investments because they have superior claim in bankruptcy over equity investors. But creditors do not share in the same upside potential as equity investors. A</w:t>
      </w:r>
      <w:r w:rsidR="00F51CE7">
        <w:t>s</w:t>
      </w:r>
      <w:r w:rsidR="005F473B">
        <w:t xml:space="preserve"> a result of these differences, their information needs differ. Equity investors are more concerned with profitability whereas creditors tend to</w:t>
      </w:r>
      <w:r w:rsidR="006934F4">
        <w:t xml:space="preserve"> be more focused on cash flows.</w:t>
      </w:r>
    </w:p>
    <w:p w:rsidR="00DB6794" w:rsidRDefault="00DB6794" w:rsidP="006934F4">
      <w:pPr>
        <w:pStyle w:val="QA"/>
      </w:pPr>
    </w:p>
    <w:p w:rsidR="00DB6794" w:rsidRDefault="00DB6794" w:rsidP="006934F4">
      <w:pPr>
        <w:pStyle w:val="QA"/>
      </w:pPr>
      <w:r w:rsidRPr="00581317">
        <w:rPr>
          <w:u w:val="single"/>
        </w:rPr>
        <w:t>Q1-4</w:t>
      </w:r>
      <w:r w:rsidRPr="0097381E">
        <w:tab/>
      </w:r>
      <w:r w:rsidR="00910EDC" w:rsidRPr="0097381E">
        <w:t>Information asymmetry arises from the separation of ownership and control of resources. Financial reporting helps reduce (but not eliminate) information asymmetry problems by enabling managers (agents) to provide relevant and reliable information to investors and creditors (principals), thereby reducing information asymmetry.</w:t>
      </w:r>
    </w:p>
    <w:p w:rsidR="00DF460C" w:rsidRPr="0097381E" w:rsidRDefault="00DF460C" w:rsidP="006934F4">
      <w:pPr>
        <w:pStyle w:val="QA"/>
      </w:pPr>
    </w:p>
    <w:p w:rsidR="00910EDC" w:rsidRDefault="00DB6794" w:rsidP="006934F4">
      <w:pPr>
        <w:pStyle w:val="QA"/>
      </w:pPr>
      <w:r>
        <w:rPr>
          <w:u w:val="single"/>
        </w:rPr>
        <w:t>Q1-5</w:t>
      </w:r>
      <w:r>
        <w:tab/>
      </w:r>
      <w:r w:rsidR="00910EDC">
        <w:t xml:space="preserve">The </w:t>
      </w:r>
      <w:r w:rsidR="00910EDC" w:rsidRPr="00910EDC">
        <w:t xml:space="preserve">demand for </w:t>
      </w:r>
      <w:r w:rsidR="00887C3D">
        <w:t xml:space="preserve">financial </w:t>
      </w:r>
      <w:r w:rsidR="00910EDC" w:rsidRPr="00910EDC">
        <w:t>accounting information, as an economic good in society, arises from the needs of equity shareholders, creditors, and various other stakeholders for information to make resource allocation decisions. This demand arises because businesses have to compete for and attract scarce economic resources, such as equity and debt capital, productive resources, employees, supplier and customer relationships, and so forth. In order to compete for these valuable resources, companies must provide relevant and reliable information to those</w:t>
      </w:r>
      <w:r w:rsidR="00DB2E5D">
        <w:t xml:space="preserve"> who can provide the resources.</w:t>
      </w:r>
    </w:p>
    <w:p w:rsidR="0060228C" w:rsidRDefault="0060228C">
      <w:pPr>
        <w:widowControl/>
        <w:autoSpaceDE/>
        <w:autoSpaceDN/>
        <w:adjustRightInd/>
        <w:rPr>
          <w:rFonts w:cs="Arial"/>
          <w:szCs w:val="22"/>
          <w:u w:val="single"/>
        </w:rPr>
      </w:pPr>
      <w:r>
        <w:rPr>
          <w:u w:val="single"/>
        </w:rPr>
        <w:br w:type="page"/>
      </w:r>
    </w:p>
    <w:p w:rsidR="00887C3D" w:rsidRPr="00887C3D" w:rsidRDefault="00DB6794" w:rsidP="006934F4">
      <w:pPr>
        <w:pStyle w:val="QA"/>
      </w:pPr>
      <w:r>
        <w:rPr>
          <w:u w:val="single"/>
        </w:rPr>
        <w:lastRenderedPageBreak/>
        <w:t>Q1-6</w:t>
      </w:r>
      <w:r>
        <w:tab/>
      </w:r>
      <w:r w:rsidR="00887C3D" w:rsidRPr="00887C3D">
        <w:t xml:space="preserve">To solve the </w:t>
      </w:r>
      <w:r w:rsidR="0097381E">
        <w:t xml:space="preserve">problems that would arise from biases in a </w:t>
      </w:r>
      <w:r w:rsidR="00887C3D" w:rsidRPr="00887C3D">
        <w:t xml:space="preserve">self-reporting </w:t>
      </w:r>
      <w:r w:rsidR="0097381E">
        <w:t>accounting system,</w:t>
      </w:r>
      <w:r w:rsidR="00887C3D" w:rsidRPr="00887C3D">
        <w:t xml:space="preserve"> a natural demand arises for </w:t>
      </w:r>
      <w:r w:rsidR="00887C3D" w:rsidRPr="00887C3D">
        <w:rPr>
          <w:i/>
        </w:rPr>
        <w:t>accounting standards and audits</w:t>
      </w:r>
      <w:r w:rsidR="00887C3D" w:rsidRPr="00887C3D">
        <w:t>. The demand for accounting information drives the demand for professionally established accounting standards that provide authoritative guidance on how to measure and report economic activities in financial statements. In addition, the demand for accounting information also drives the demand for auditing—independent verification and attestation o</w:t>
      </w:r>
      <w:r w:rsidR="0097381E">
        <w:t>f</w:t>
      </w:r>
      <w:r w:rsidR="00887C3D" w:rsidRPr="00887C3D">
        <w:t xml:space="preserve"> whether the financial statements have been fairly presented in accordance with professional accounting standards.</w:t>
      </w:r>
    </w:p>
    <w:p w:rsidR="00DB6794" w:rsidRDefault="00DB6794" w:rsidP="006934F4">
      <w:pPr>
        <w:pStyle w:val="QA"/>
        <w:rPr>
          <w:u w:val="single"/>
        </w:rPr>
      </w:pPr>
    </w:p>
    <w:p w:rsidR="0077707C" w:rsidRPr="006302C2" w:rsidRDefault="0077707C" w:rsidP="0077707C">
      <w:pPr>
        <w:pStyle w:val="QA"/>
        <w:rPr>
          <w:szCs w:val="20"/>
        </w:rPr>
      </w:pPr>
      <w:r>
        <w:rPr>
          <w:szCs w:val="20"/>
          <w:u w:val="single"/>
        </w:rPr>
        <w:t>Q1-7</w:t>
      </w:r>
      <w:r>
        <w:rPr>
          <w:szCs w:val="20"/>
        </w:rPr>
        <w:tab/>
        <w:t>Generally accepted accounting principles (GAAP) are the principles, concepts, guidelines, procedures, and practices that U.S. companies that are listed in the U</w:t>
      </w:r>
      <w:r w:rsidR="00914AAD">
        <w:rPr>
          <w:szCs w:val="20"/>
        </w:rPr>
        <w:t xml:space="preserve">nited </w:t>
      </w:r>
      <w:r>
        <w:rPr>
          <w:szCs w:val="20"/>
        </w:rPr>
        <w:t>S</w:t>
      </w:r>
      <w:r w:rsidR="00914AAD">
        <w:rPr>
          <w:szCs w:val="20"/>
        </w:rPr>
        <w:t>tates</w:t>
      </w:r>
      <w:r>
        <w:rPr>
          <w:szCs w:val="20"/>
        </w:rPr>
        <w:t xml:space="preserve"> and subject to SEC regulation are required to use in recording and reporting the accounting information in audited financial statements.</w:t>
      </w:r>
    </w:p>
    <w:p w:rsidR="003E280E" w:rsidRDefault="003E280E">
      <w:pPr>
        <w:widowControl/>
        <w:autoSpaceDE/>
        <w:autoSpaceDN/>
        <w:adjustRightInd/>
        <w:rPr>
          <w:rFonts w:ascii="Arial" w:hAnsi="Arial" w:cs="Arial"/>
          <w:szCs w:val="20"/>
          <w:u w:val="single"/>
        </w:rPr>
      </w:pPr>
    </w:p>
    <w:p w:rsidR="00B72450" w:rsidRPr="00B72450" w:rsidRDefault="00DB6794" w:rsidP="006934F4">
      <w:pPr>
        <w:pStyle w:val="QA"/>
        <w:rPr>
          <w:szCs w:val="20"/>
        </w:rPr>
      </w:pPr>
      <w:r>
        <w:rPr>
          <w:szCs w:val="20"/>
          <w:u w:val="single"/>
        </w:rPr>
        <w:t>Q1-</w:t>
      </w:r>
      <w:r w:rsidR="00BA71E3">
        <w:rPr>
          <w:szCs w:val="20"/>
          <w:u w:val="single"/>
        </w:rPr>
        <w:t>8</w:t>
      </w:r>
      <w:r>
        <w:rPr>
          <w:szCs w:val="20"/>
        </w:rPr>
        <w:tab/>
      </w:r>
      <w:r w:rsidR="00B72450" w:rsidRPr="00B72450">
        <w:rPr>
          <w:szCs w:val="20"/>
        </w:rPr>
        <w:t>The supply of accounting information that companies report to external stakeholders is determined primarily by the interacti</w:t>
      </w:r>
      <w:r w:rsidR="00941903">
        <w:rPr>
          <w:szCs w:val="20"/>
        </w:rPr>
        <w:t>ons between two sets of forces:</w:t>
      </w:r>
    </w:p>
    <w:p w:rsidR="004A6EE3" w:rsidRPr="0033534E" w:rsidRDefault="00B72450" w:rsidP="00A96440">
      <w:pPr>
        <w:pStyle w:val="QAbullettdlist"/>
      </w:pPr>
      <w:r w:rsidRPr="0033534E">
        <w:t>The authoritative professional accounting standards that govern in the company</w:t>
      </w:r>
      <w:r w:rsidR="0077707C">
        <w:t>’</w:t>
      </w:r>
      <w:r w:rsidRPr="0033534E">
        <w:t xml:space="preserve">s country of incorporation, such as U.S. GAAP or IFRS, and </w:t>
      </w:r>
    </w:p>
    <w:p w:rsidR="001933FC" w:rsidRPr="0033534E" w:rsidRDefault="004A6EE3" w:rsidP="00A96440">
      <w:pPr>
        <w:pStyle w:val="QAbullettdlist"/>
      </w:pPr>
      <w:r w:rsidRPr="0033534E">
        <w:t>t</w:t>
      </w:r>
      <w:r w:rsidR="00B72450" w:rsidRPr="0033534E">
        <w:t>he many choices, methods, estimates, and judgments that the company must make in order to apply those accounting standards to measure and repo</w:t>
      </w:r>
      <w:r w:rsidR="00254DCB">
        <w:t>rt their financial statements.</w:t>
      </w:r>
    </w:p>
    <w:p w:rsidR="0027414A" w:rsidRDefault="0027414A">
      <w:pPr>
        <w:widowControl/>
        <w:autoSpaceDE/>
        <w:autoSpaceDN/>
        <w:adjustRightInd/>
        <w:rPr>
          <w:rFonts w:ascii="Arial" w:hAnsi="Arial" w:cs="Arial"/>
          <w:sz w:val="22"/>
          <w:szCs w:val="20"/>
          <w:u w:val="single"/>
        </w:rPr>
      </w:pPr>
    </w:p>
    <w:p w:rsidR="001933FC" w:rsidRDefault="00DB6794" w:rsidP="006934F4">
      <w:pPr>
        <w:pStyle w:val="QA"/>
        <w:rPr>
          <w:szCs w:val="20"/>
        </w:rPr>
      </w:pPr>
      <w:r>
        <w:rPr>
          <w:szCs w:val="20"/>
          <w:u w:val="single"/>
        </w:rPr>
        <w:t>Q1-</w:t>
      </w:r>
      <w:r w:rsidR="00BA71E3">
        <w:rPr>
          <w:szCs w:val="20"/>
          <w:u w:val="single"/>
        </w:rPr>
        <w:t>9</w:t>
      </w:r>
      <w:r>
        <w:rPr>
          <w:szCs w:val="20"/>
        </w:rPr>
        <w:tab/>
      </w:r>
      <w:r w:rsidR="004A6EE3" w:rsidRPr="004A6EE3">
        <w:rPr>
          <w:szCs w:val="20"/>
        </w:rPr>
        <w:t xml:space="preserve">The stated mission of the U.S. Securities and Exchange Commission is to </w:t>
      </w:r>
      <w:r w:rsidR="00877D51">
        <w:rPr>
          <w:szCs w:val="20"/>
        </w:rPr>
        <w:t>“</w:t>
      </w:r>
      <w:r w:rsidR="004A6EE3" w:rsidRPr="004A6EE3">
        <w:rPr>
          <w:szCs w:val="20"/>
        </w:rPr>
        <w:t>protect investors, maintain fair, orderly, and efficient markets, and facilitate capital formation.</w:t>
      </w:r>
      <w:r w:rsidR="00877D51">
        <w:rPr>
          <w:szCs w:val="20"/>
        </w:rPr>
        <w:t>”</w:t>
      </w:r>
      <w:r w:rsidR="004A6EE3">
        <w:rPr>
          <w:szCs w:val="20"/>
        </w:rPr>
        <w:t xml:space="preserve"> </w:t>
      </w:r>
      <w:r w:rsidR="004A6EE3" w:rsidRPr="004A6EE3">
        <w:rPr>
          <w:szCs w:val="20"/>
        </w:rPr>
        <w:t>The U.S. Congress created the SEC to administer the Securities Act of 1933 and the Securities Exchange Act of 1934. Under these Acts, the SEC has the legal authority to prescribe accounting principles and reporting practices for all corporations issuing publicly traded securities within the U.S. capital markets.</w:t>
      </w:r>
      <w:r w:rsidR="004A6EE3">
        <w:rPr>
          <w:szCs w:val="20"/>
        </w:rPr>
        <w:t xml:space="preserve"> </w:t>
      </w:r>
      <w:r w:rsidR="006B37CB" w:rsidRPr="006B37CB">
        <w:rPr>
          <w:szCs w:val="20"/>
        </w:rPr>
        <w:t>The SEC has mandated that the information communicated to external users in financial reporting must be based on professionally established accounting principles, such as GAAP for U.S companies and IFRS for non-U.S. companies.</w:t>
      </w:r>
    </w:p>
    <w:p w:rsidR="007C0F78" w:rsidRDefault="007C0F78" w:rsidP="007C0F78">
      <w:pPr>
        <w:pStyle w:val="6pt"/>
      </w:pPr>
    </w:p>
    <w:p w:rsidR="006B37CB" w:rsidRDefault="006B37CB" w:rsidP="006934F4">
      <w:pPr>
        <w:pStyle w:val="QA"/>
        <w:rPr>
          <w:szCs w:val="20"/>
        </w:rPr>
      </w:pPr>
      <w:r>
        <w:rPr>
          <w:szCs w:val="20"/>
        </w:rPr>
        <w:tab/>
        <w:t>T</w:t>
      </w:r>
      <w:r w:rsidRPr="006B37CB">
        <w:rPr>
          <w:szCs w:val="20"/>
        </w:rPr>
        <w:t>he SEC delegates th</w:t>
      </w:r>
      <w:r>
        <w:rPr>
          <w:szCs w:val="20"/>
        </w:rPr>
        <w:t>e</w:t>
      </w:r>
      <w:r w:rsidRPr="006B37CB">
        <w:rPr>
          <w:szCs w:val="20"/>
        </w:rPr>
        <w:t xml:space="preserve"> authority</w:t>
      </w:r>
      <w:r>
        <w:rPr>
          <w:szCs w:val="20"/>
        </w:rPr>
        <w:t xml:space="preserve"> over standard setting</w:t>
      </w:r>
      <w:r w:rsidRPr="006B37CB">
        <w:rPr>
          <w:szCs w:val="20"/>
        </w:rPr>
        <w:t xml:space="preserve"> to private standard setting bodies within the accounting profession, such as the Financial Accounting Standards Board (FASB) establishing GAAP for U.S. companies and the International Accounting Standards Board (IASB) establishing IFRS for companies from many other countries around the world. The SEC monitors closely and oversees the standards being developed by these standard setters. From time to time, the SEC exerts pressure on the standard setters to adopt, or not adopt, specific standards.</w:t>
      </w:r>
    </w:p>
    <w:p w:rsidR="00DB6794" w:rsidRDefault="00DB6794" w:rsidP="006934F4">
      <w:pPr>
        <w:pStyle w:val="QA"/>
        <w:rPr>
          <w:szCs w:val="20"/>
          <w:u w:val="single"/>
        </w:rPr>
      </w:pPr>
    </w:p>
    <w:p w:rsidR="000E6FE1" w:rsidRDefault="00DB6794" w:rsidP="006934F4">
      <w:pPr>
        <w:pStyle w:val="QA"/>
        <w:rPr>
          <w:szCs w:val="20"/>
        </w:rPr>
      </w:pPr>
      <w:r>
        <w:rPr>
          <w:szCs w:val="20"/>
          <w:u w:val="single"/>
        </w:rPr>
        <w:t>Q1-</w:t>
      </w:r>
      <w:r w:rsidR="00BA71E3">
        <w:rPr>
          <w:szCs w:val="20"/>
          <w:u w:val="single"/>
        </w:rPr>
        <w:t>10</w:t>
      </w:r>
      <w:r>
        <w:rPr>
          <w:szCs w:val="20"/>
        </w:rPr>
        <w:tab/>
      </w:r>
      <w:r w:rsidR="00390FAF" w:rsidRPr="00390FAF">
        <w:rPr>
          <w:szCs w:val="20"/>
        </w:rPr>
        <w:t>The FASB is responsible for identifying financial accounting issues, conducting research to address these issues, and resolving them by issuing new accounting standards</w:t>
      </w:r>
      <w:r w:rsidR="00390FAF">
        <w:rPr>
          <w:szCs w:val="20"/>
        </w:rPr>
        <w:t xml:space="preserve"> applicable to U.S. companies</w:t>
      </w:r>
      <w:r w:rsidR="00390FAF" w:rsidRPr="00390FAF">
        <w:rPr>
          <w:szCs w:val="20"/>
        </w:rPr>
        <w:t>.</w:t>
      </w:r>
      <w:r w:rsidR="000E6FE1" w:rsidRPr="000E6FE1">
        <w:rPr>
          <w:rFonts w:ascii="Times" w:hAnsi="Times"/>
          <w:sz w:val="24"/>
        </w:rPr>
        <w:t xml:space="preserve"> </w:t>
      </w:r>
      <w:r w:rsidR="000E6FE1" w:rsidRPr="000E6FE1">
        <w:rPr>
          <w:szCs w:val="20"/>
        </w:rPr>
        <w:t>The FASB</w:t>
      </w:r>
      <w:r w:rsidR="00634D27">
        <w:rPr>
          <w:szCs w:val="20"/>
        </w:rPr>
        <w:t xml:space="preserve"> fulfills its responsibility by:</w:t>
      </w:r>
    </w:p>
    <w:p w:rsidR="00634D27" w:rsidRPr="0027414A" w:rsidRDefault="000E6FE1" w:rsidP="00A96440">
      <w:pPr>
        <w:pStyle w:val="QAbullettdlist"/>
      </w:pPr>
      <w:r w:rsidRPr="0027414A">
        <w:t xml:space="preserve">establishing standards that are the most acceptable, given the various affected constituencies, and </w:t>
      </w:r>
    </w:p>
    <w:p w:rsidR="001933FC" w:rsidRPr="0027414A" w:rsidRDefault="000E6FE1" w:rsidP="00A96440">
      <w:pPr>
        <w:pStyle w:val="QAbullettdlist"/>
      </w:pPr>
      <w:r w:rsidRPr="0027414A">
        <w:t>continually monitoring the consequences of its actions so that revised standards can be issued where appropriate.</w:t>
      </w:r>
    </w:p>
    <w:p w:rsidR="0060228C" w:rsidRDefault="0060228C">
      <w:pPr>
        <w:widowControl/>
        <w:autoSpaceDE/>
        <w:autoSpaceDN/>
        <w:adjustRightInd/>
        <w:rPr>
          <w:rFonts w:cs="Arial"/>
          <w:szCs w:val="20"/>
          <w:u w:val="single"/>
        </w:rPr>
      </w:pPr>
      <w:r>
        <w:rPr>
          <w:szCs w:val="20"/>
          <w:u w:val="single"/>
        </w:rPr>
        <w:br w:type="page"/>
      </w:r>
    </w:p>
    <w:p w:rsidR="00350A73" w:rsidRDefault="00DB6794" w:rsidP="0060228C">
      <w:pPr>
        <w:pStyle w:val="QA"/>
        <w:rPr>
          <w:szCs w:val="20"/>
        </w:rPr>
      </w:pPr>
      <w:r>
        <w:rPr>
          <w:szCs w:val="20"/>
          <w:u w:val="single"/>
        </w:rPr>
        <w:lastRenderedPageBreak/>
        <w:t>Q1-</w:t>
      </w:r>
      <w:r w:rsidR="00BA71E3">
        <w:rPr>
          <w:szCs w:val="20"/>
          <w:u w:val="single"/>
        </w:rPr>
        <w:t>11</w:t>
      </w:r>
      <w:r>
        <w:rPr>
          <w:szCs w:val="20"/>
        </w:rPr>
        <w:tab/>
      </w:r>
      <w:r w:rsidR="00AE5450" w:rsidRPr="006302C2">
        <w:rPr>
          <w:szCs w:val="20"/>
        </w:rPr>
        <w:t>The Codification</w:t>
      </w:r>
      <w:r w:rsidR="00AE5450">
        <w:rPr>
          <w:szCs w:val="20"/>
        </w:rPr>
        <w:t xml:space="preserve"> </w:t>
      </w:r>
      <w:r w:rsidR="006302C2" w:rsidRPr="006302C2">
        <w:rPr>
          <w:szCs w:val="20"/>
        </w:rPr>
        <w:t>is an electronic database that integrates and topically organizes the U.S. GAAP into one coherent body of literature.</w:t>
      </w:r>
      <w:r w:rsidR="006302C2">
        <w:rPr>
          <w:szCs w:val="20"/>
        </w:rPr>
        <w:t xml:space="preserve"> </w:t>
      </w:r>
      <w:r w:rsidR="00AE5450">
        <w:rPr>
          <w:szCs w:val="20"/>
        </w:rPr>
        <w:t xml:space="preserve">There are </w:t>
      </w:r>
      <w:r w:rsidR="006302C2">
        <w:rPr>
          <w:szCs w:val="20"/>
        </w:rPr>
        <w:t>six</w:t>
      </w:r>
      <w:r w:rsidR="00AE5450">
        <w:rPr>
          <w:szCs w:val="20"/>
        </w:rPr>
        <w:t xml:space="preserve"> levels in the framework of Codification: </w:t>
      </w:r>
      <w:r w:rsidR="006302C2">
        <w:rPr>
          <w:szCs w:val="20"/>
        </w:rPr>
        <w:t xml:space="preserve">Areas, </w:t>
      </w:r>
      <w:r w:rsidR="00AE5450">
        <w:rPr>
          <w:szCs w:val="20"/>
        </w:rPr>
        <w:t xml:space="preserve">Topics, Subtopics, Sections, </w:t>
      </w:r>
      <w:r w:rsidR="006302C2">
        <w:rPr>
          <w:szCs w:val="20"/>
        </w:rPr>
        <w:t xml:space="preserve">Subsections, </w:t>
      </w:r>
      <w:r w:rsidR="00AE5450">
        <w:rPr>
          <w:szCs w:val="20"/>
        </w:rPr>
        <w:t>and Paragraphs. The Topics level contains a collection of related gu</w:t>
      </w:r>
      <w:r w:rsidR="006302C2">
        <w:rPr>
          <w:szCs w:val="20"/>
        </w:rPr>
        <w:t>idance on a particular subject A</w:t>
      </w:r>
      <w:r w:rsidR="00AE5450">
        <w:rPr>
          <w:szCs w:val="20"/>
        </w:rPr>
        <w:t xml:space="preserve">rea. The Subtopics level includes subsets of a Topic. The Sections level characterizes the nature of the content in a Subtopic (e.g., Recognition, Measurement, Disclosure). </w:t>
      </w:r>
      <w:r w:rsidR="00101FA0">
        <w:rPr>
          <w:szCs w:val="20"/>
        </w:rPr>
        <w:t xml:space="preserve">The </w:t>
      </w:r>
      <w:r w:rsidR="006302C2">
        <w:rPr>
          <w:szCs w:val="20"/>
        </w:rPr>
        <w:t xml:space="preserve">Subsections level </w:t>
      </w:r>
      <w:r w:rsidR="00101FA0">
        <w:rPr>
          <w:szCs w:val="20"/>
        </w:rPr>
        <w:t xml:space="preserve">provides finer breakdown of the content in a Section. </w:t>
      </w:r>
      <w:r w:rsidR="00AE5450">
        <w:rPr>
          <w:szCs w:val="20"/>
        </w:rPr>
        <w:t>Paragraphs contain the guidance that constitu</w:t>
      </w:r>
      <w:r w:rsidR="0066321C">
        <w:rPr>
          <w:szCs w:val="20"/>
        </w:rPr>
        <w:t>tes</w:t>
      </w:r>
      <w:r w:rsidR="00AE5450">
        <w:rPr>
          <w:szCs w:val="20"/>
        </w:rPr>
        <w:t xml:space="preserve"> GAAP.</w:t>
      </w:r>
    </w:p>
    <w:p w:rsidR="0060228C" w:rsidRDefault="0060228C" w:rsidP="0060228C">
      <w:pPr>
        <w:pStyle w:val="6pt"/>
      </w:pPr>
    </w:p>
    <w:p w:rsidR="00057702" w:rsidRDefault="006D57C3" w:rsidP="006934F4">
      <w:pPr>
        <w:pStyle w:val="QA"/>
        <w:rPr>
          <w:szCs w:val="20"/>
        </w:rPr>
      </w:pPr>
      <w:r>
        <w:rPr>
          <w:szCs w:val="20"/>
        </w:rPr>
        <w:tab/>
      </w:r>
      <w:r w:rsidR="00057702">
        <w:rPr>
          <w:szCs w:val="20"/>
        </w:rPr>
        <w:t>The FASB issued six types of pronouncements prior to the Codification:</w:t>
      </w:r>
    </w:p>
    <w:p w:rsidR="00057702" w:rsidRPr="006D57C3" w:rsidRDefault="00057702" w:rsidP="006D57C3">
      <w:pPr>
        <w:pStyle w:val="QAnumberedlist"/>
      </w:pPr>
      <w:r w:rsidRPr="006D57C3">
        <w:t>1.</w:t>
      </w:r>
      <w:r w:rsidRPr="006D57C3">
        <w:tab/>
      </w:r>
      <w:r w:rsidRPr="004221A3">
        <w:rPr>
          <w:i/>
        </w:rPr>
        <w:t>Statements of Financial Accounting Standards</w:t>
      </w:r>
      <w:r w:rsidRPr="006D57C3">
        <w:t>. These pronouncements established GAAP. They indicated the methods and procedures required on specific accounting issues.</w:t>
      </w:r>
    </w:p>
    <w:p w:rsidR="00057702" w:rsidRPr="006D57C3" w:rsidRDefault="00057702" w:rsidP="006D57C3">
      <w:pPr>
        <w:pStyle w:val="QAnumberedlist"/>
      </w:pPr>
      <w:r w:rsidRPr="006D57C3">
        <w:t>2.</w:t>
      </w:r>
      <w:r w:rsidRPr="006D57C3">
        <w:tab/>
      </w:r>
      <w:r w:rsidRPr="004221A3">
        <w:rPr>
          <w:i/>
        </w:rPr>
        <w:t>Interpretations</w:t>
      </w:r>
      <w:r w:rsidRPr="006D57C3">
        <w:t xml:space="preserve">. These pronouncements provided clarifications of conflicting or unclear issues relating to previously issued </w:t>
      </w:r>
      <w:r w:rsidRPr="004221A3">
        <w:rPr>
          <w:i/>
        </w:rPr>
        <w:t>FASB Statements of Financial Accounting Standards</w:t>
      </w:r>
      <w:r w:rsidRPr="006D57C3">
        <w:t xml:space="preserve">, </w:t>
      </w:r>
      <w:r w:rsidRPr="004221A3">
        <w:rPr>
          <w:i/>
        </w:rPr>
        <w:t>APB Opinions</w:t>
      </w:r>
      <w:r w:rsidRPr="006D57C3">
        <w:t xml:space="preserve">, or </w:t>
      </w:r>
      <w:r w:rsidRPr="004221A3">
        <w:rPr>
          <w:i/>
        </w:rPr>
        <w:t>Accounting Research Bulletins</w:t>
      </w:r>
      <w:r w:rsidRPr="006D57C3">
        <w:t>.</w:t>
      </w:r>
    </w:p>
    <w:p w:rsidR="00057702" w:rsidRPr="006D57C3" w:rsidRDefault="00057702" w:rsidP="006D57C3">
      <w:pPr>
        <w:pStyle w:val="QAnumberedlist"/>
      </w:pPr>
      <w:r w:rsidRPr="006D57C3">
        <w:t>3.</w:t>
      </w:r>
      <w:r w:rsidRPr="006D57C3">
        <w:tab/>
      </w:r>
      <w:r w:rsidRPr="004221A3">
        <w:rPr>
          <w:i/>
        </w:rPr>
        <w:t>Staff Positions</w:t>
      </w:r>
      <w:r w:rsidRPr="006D57C3">
        <w:t>. The staff of the FASB issued these pronouncements to provide more timely and consistent application guidance in regard to FASB literature, as well as to make narrow and limited revisions of GAAP.</w:t>
      </w:r>
    </w:p>
    <w:p w:rsidR="00057702" w:rsidRPr="006D57C3" w:rsidRDefault="00057702" w:rsidP="006D57C3">
      <w:pPr>
        <w:pStyle w:val="QAnumberedlist"/>
      </w:pPr>
      <w:r w:rsidRPr="006D57C3">
        <w:t>4.</w:t>
      </w:r>
      <w:r w:rsidRPr="006D57C3">
        <w:tab/>
      </w:r>
      <w:r w:rsidRPr="004221A3">
        <w:rPr>
          <w:i/>
        </w:rPr>
        <w:t>Technical Bulletins</w:t>
      </w:r>
      <w:r w:rsidRPr="006D57C3">
        <w:t xml:space="preserve">. The staff of the FASB issued these pronouncements to clarify, explain, and elaborate on accounting and reporting issues related to </w:t>
      </w:r>
      <w:r w:rsidRPr="004221A3">
        <w:rPr>
          <w:i/>
        </w:rPr>
        <w:t>Statements of Standards</w:t>
      </w:r>
      <w:r w:rsidRPr="006D57C3">
        <w:t xml:space="preserve"> or </w:t>
      </w:r>
      <w:r w:rsidRPr="004221A3">
        <w:rPr>
          <w:i/>
        </w:rPr>
        <w:t>Interpretations</w:t>
      </w:r>
      <w:r w:rsidRPr="006D57C3">
        <w:t>.</w:t>
      </w:r>
    </w:p>
    <w:p w:rsidR="00057702" w:rsidRDefault="002523CF" w:rsidP="002523CF">
      <w:pPr>
        <w:pStyle w:val="QAnumberedlist"/>
      </w:pPr>
      <w:r w:rsidRPr="002523CF">
        <w:t>5.</w:t>
      </w:r>
      <w:r w:rsidRPr="002523CF">
        <w:tab/>
      </w:r>
      <w:r w:rsidR="00057702" w:rsidRPr="004221A3">
        <w:rPr>
          <w:i/>
        </w:rPr>
        <w:t>Statements of Financial Accounting Concepts</w:t>
      </w:r>
      <w:r w:rsidR="00057702">
        <w:t>. These pronouncements established a theoretical foundation upon which to base GAAP. They are the output of the FASB</w:t>
      </w:r>
      <w:r w:rsidR="0077707C">
        <w:t>’</w:t>
      </w:r>
      <w:r w:rsidR="00057702">
        <w:t xml:space="preserve">s </w:t>
      </w:r>
      <w:r w:rsidR="00877D51">
        <w:t>“</w:t>
      </w:r>
      <w:r w:rsidR="00057702">
        <w:t>conceptual framework</w:t>
      </w:r>
      <w:r w:rsidR="00877D51">
        <w:t>”</w:t>
      </w:r>
      <w:r w:rsidR="00057702">
        <w:t xml:space="preserve"> project.</w:t>
      </w:r>
    </w:p>
    <w:p w:rsidR="00057702" w:rsidRDefault="002523CF" w:rsidP="002523CF">
      <w:pPr>
        <w:pStyle w:val="QAnumberedlist"/>
      </w:pPr>
      <w:r w:rsidRPr="002523CF">
        <w:t>6.</w:t>
      </w:r>
      <w:r w:rsidRPr="002523CF">
        <w:tab/>
      </w:r>
      <w:r w:rsidR="00057702" w:rsidRPr="004221A3">
        <w:rPr>
          <w:i/>
        </w:rPr>
        <w:t>Other Pronouncements</w:t>
      </w:r>
      <w:r w:rsidR="00057702">
        <w:t xml:space="preserve">. On a major topic, the staff of the FASB may have issued a </w:t>
      </w:r>
      <w:r w:rsidR="00057702" w:rsidRPr="004221A3">
        <w:rPr>
          <w:i/>
        </w:rPr>
        <w:t>Guide for Implementation</w:t>
      </w:r>
      <w:r w:rsidR="00057702">
        <w:t>.</w:t>
      </w:r>
    </w:p>
    <w:p w:rsidR="007C0F78" w:rsidRDefault="007C0F78" w:rsidP="007C0F78">
      <w:pPr>
        <w:pStyle w:val="6pt"/>
      </w:pPr>
    </w:p>
    <w:p w:rsidR="00FF79C5" w:rsidRPr="00FF79C5" w:rsidRDefault="0066096A" w:rsidP="006934F4">
      <w:pPr>
        <w:pStyle w:val="QA"/>
        <w:rPr>
          <w:szCs w:val="20"/>
        </w:rPr>
      </w:pPr>
      <w:r>
        <w:rPr>
          <w:szCs w:val="20"/>
        </w:rPr>
        <w:tab/>
      </w:r>
      <w:r w:rsidR="00057702">
        <w:rPr>
          <w:szCs w:val="20"/>
        </w:rPr>
        <w:t xml:space="preserve">The Codification did not change GAAP per se, in that it did not issue or rescind any standards. Instead, </w:t>
      </w:r>
      <w:r w:rsidR="00FF79C5">
        <w:rPr>
          <w:szCs w:val="20"/>
        </w:rPr>
        <w:t>t</w:t>
      </w:r>
      <w:r w:rsidR="00FF79C5" w:rsidRPr="00FF79C5">
        <w:rPr>
          <w:szCs w:val="20"/>
        </w:rPr>
        <w:t>he FASB developed the Codification to achieve three goals:</w:t>
      </w:r>
    </w:p>
    <w:p w:rsidR="00FF79C5" w:rsidRPr="00FF79C5" w:rsidRDefault="00FF79C5" w:rsidP="00A96440">
      <w:pPr>
        <w:pStyle w:val="QAbullettdlist"/>
      </w:pPr>
      <w:r w:rsidRPr="00FF79C5">
        <w:t>Simplify user access by codifying all authoritative U.S. GAAP in one spot.</w:t>
      </w:r>
    </w:p>
    <w:p w:rsidR="00FF79C5" w:rsidRPr="00FF79C5" w:rsidRDefault="00FF79C5" w:rsidP="00A96440">
      <w:pPr>
        <w:pStyle w:val="QAbullettdlist"/>
      </w:pPr>
      <w:r w:rsidRPr="00FF79C5">
        <w:t>Ensure the codified content accurately represented all authoritative U.S. GAAP.</w:t>
      </w:r>
    </w:p>
    <w:p w:rsidR="00FF79C5" w:rsidRPr="00FF79C5" w:rsidRDefault="00FF79C5" w:rsidP="00A96440">
      <w:pPr>
        <w:pStyle w:val="QAbullettdlist"/>
      </w:pPr>
      <w:r w:rsidRPr="00FF79C5">
        <w:t>Create a codification research system that is up to date, including the most recently released standards.</w:t>
      </w:r>
    </w:p>
    <w:p w:rsidR="00FE0D30" w:rsidRDefault="00FE0D30" w:rsidP="00FE0D30">
      <w:pPr>
        <w:pStyle w:val="QA"/>
        <w:rPr>
          <w:szCs w:val="20"/>
          <w:u w:val="single"/>
        </w:rPr>
      </w:pPr>
    </w:p>
    <w:p w:rsidR="00FE0D30" w:rsidRPr="0087266A" w:rsidRDefault="00FE0D30" w:rsidP="00FE0D30">
      <w:pPr>
        <w:pStyle w:val="QA"/>
        <w:rPr>
          <w:b/>
          <w:szCs w:val="20"/>
        </w:rPr>
      </w:pPr>
      <w:r>
        <w:rPr>
          <w:szCs w:val="20"/>
          <w:u w:val="single"/>
        </w:rPr>
        <w:t>Q1-12</w:t>
      </w:r>
      <w:r>
        <w:rPr>
          <w:szCs w:val="20"/>
        </w:rPr>
        <w:tab/>
        <w:t>Before issuing an Accounting Standards Update, the FASB generally completes a multistage process as follows:</w:t>
      </w:r>
    </w:p>
    <w:p w:rsidR="00FE0D30" w:rsidRDefault="00FE0D30" w:rsidP="002A7F60">
      <w:pPr>
        <w:pStyle w:val="6pt"/>
      </w:pPr>
    </w:p>
    <w:p w:rsidR="00FE0D30" w:rsidRPr="00FE0D30" w:rsidRDefault="00FE0D30" w:rsidP="00350A73">
      <w:pPr>
        <w:pStyle w:val="QAsub"/>
      </w:pPr>
      <w:r>
        <w:tab/>
      </w:r>
      <w:r w:rsidRPr="00FE0D30">
        <w:t>(1)</w:t>
      </w:r>
      <w:r w:rsidRPr="00FE0D30">
        <w:tab/>
        <w:t>identifies topic</w:t>
      </w:r>
    </w:p>
    <w:p w:rsidR="00FE0D30" w:rsidRPr="00FE0D30" w:rsidRDefault="00FE0D30" w:rsidP="00436D6E">
      <w:pPr>
        <w:pStyle w:val="QAsub"/>
      </w:pPr>
      <w:r>
        <w:tab/>
      </w:r>
      <w:r w:rsidRPr="00FE0D30">
        <w:t>(2)</w:t>
      </w:r>
      <w:r w:rsidRPr="00FE0D30">
        <w:tab/>
        <w:t>appoints task force</w:t>
      </w:r>
    </w:p>
    <w:p w:rsidR="00FE0D30" w:rsidRPr="00FE0D30" w:rsidRDefault="00FE0D30" w:rsidP="00436D6E">
      <w:pPr>
        <w:pStyle w:val="QAsub"/>
      </w:pPr>
      <w:r>
        <w:tab/>
      </w:r>
      <w:r w:rsidRPr="00FE0D30">
        <w:t>(3)</w:t>
      </w:r>
      <w:r w:rsidRPr="00FE0D30">
        <w:tab/>
        <w:t>conducts research</w:t>
      </w:r>
    </w:p>
    <w:p w:rsidR="00FE0D30" w:rsidRPr="00FE0D30" w:rsidRDefault="00FE0D30" w:rsidP="00436D6E">
      <w:pPr>
        <w:pStyle w:val="QAsub"/>
      </w:pPr>
      <w:r>
        <w:tab/>
      </w:r>
      <w:r w:rsidRPr="00FE0D30">
        <w:t>(4)</w:t>
      </w:r>
      <w:r w:rsidRPr="00FE0D30">
        <w:tab/>
        <w:t>issues Discussion Memorandum or Invitation to Comment</w:t>
      </w:r>
    </w:p>
    <w:p w:rsidR="00FE0D30" w:rsidRPr="00FE0D30" w:rsidRDefault="00FE0D30" w:rsidP="00436D6E">
      <w:pPr>
        <w:pStyle w:val="QAsub"/>
      </w:pPr>
      <w:r>
        <w:tab/>
      </w:r>
      <w:r w:rsidRPr="00FE0D30">
        <w:t>(5)</w:t>
      </w:r>
      <w:r w:rsidRPr="00FE0D30">
        <w:tab/>
        <w:t>holds public hearings</w:t>
      </w:r>
    </w:p>
    <w:p w:rsidR="00FE0D30" w:rsidRPr="00FE0D30" w:rsidRDefault="00FE0D30" w:rsidP="00436D6E">
      <w:pPr>
        <w:pStyle w:val="QAsub"/>
      </w:pPr>
      <w:r>
        <w:tab/>
      </w:r>
      <w:r w:rsidRPr="00FE0D30">
        <w:t>(6)</w:t>
      </w:r>
      <w:r w:rsidRPr="00FE0D30">
        <w:tab/>
        <w:t>deliberates on findings</w:t>
      </w:r>
    </w:p>
    <w:p w:rsidR="00FE0D30" w:rsidRPr="00FE0D30" w:rsidRDefault="00FE0D30" w:rsidP="00436D6E">
      <w:pPr>
        <w:pStyle w:val="QAsub"/>
      </w:pPr>
      <w:r>
        <w:tab/>
      </w:r>
      <w:r w:rsidRPr="00FE0D30">
        <w:t>(7)</w:t>
      </w:r>
      <w:r w:rsidRPr="00FE0D30">
        <w:tab/>
        <w:t>issues Exposure Draft</w:t>
      </w:r>
    </w:p>
    <w:p w:rsidR="00FE0D30" w:rsidRPr="00FE0D30" w:rsidRDefault="00FE0D30" w:rsidP="00436D6E">
      <w:pPr>
        <w:pStyle w:val="QAsub"/>
      </w:pPr>
      <w:r>
        <w:tab/>
      </w:r>
      <w:r w:rsidRPr="00FE0D30">
        <w:t>(8)</w:t>
      </w:r>
      <w:r w:rsidRPr="00FE0D30">
        <w:tab/>
        <w:t>holds public hearings</w:t>
      </w:r>
    </w:p>
    <w:p w:rsidR="00FE0D30" w:rsidRPr="00FE0D30" w:rsidRDefault="00FE0D30" w:rsidP="00436D6E">
      <w:pPr>
        <w:pStyle w:val="QAsub"/>
      </w:pPr>
      <w:r>
        <w:tab/>
      </w:r>
      <w:r w:rsidRPr="00FE0D30">
        <w:t>(9)</w:t>
      </w:r>
      <w:r w:rsidRPr="00FE0D30">
        <w:tab/>
        <w:t>modifies Exposure Draft</w:t>
      </w:r>
    </w:p>
    <w:p w:rsidR="00FE0D30" w:rsidRPr="00FE0D30" w:rsidRDefault="00FE0D30" w:rsidP="00436D6E">
      <w:pPr>
        <w:pStyle w:val="QAsub"/>
      </w:pPr>
      <w:r>
        <w:tab/>
      </w:r>
      <w:r w:rsidRPr="00FE0D30">
        <w:t>(10)</w:t>
      </w:r>
      <w:r w:rsidRPr="00FE0D30">
        <w:tab/>
        <w:t>votes</w:t>
      </w:r>
    </w:p>
    <w:p w:rsidR="00FE0D30" w:rsidRDefault="00FE0D30" w:rsidP="002A7F60">
      <w:pPr>
        <w:pStyle w:val="6pt"/>
      </w:pPr>
    </w:p>
    <w:p w:rsidR="0060228C" w:rsidRDefault="00FE0D30" w:rsidP="0060228C">
      <w:pPr>
        <w:pStyle w:val="QA"/>
        <w:rPr>
          <w:szCs w:val="20"/>
          <w:u w:val="single"/>
        </w:rPr>
      </w:pPr>
      <w:r>
        <w:rPr>
          <w:szCs w:val="20"/>
        </w:rPr>
        <w:tab/>
        <w:t xml:space="preserve">After a super-majority vote (five votes out of seven) is attained, the </w:t>
      </w:r>
      <w:r w:rsidRPr="00AA4E34">
        <w:rPr>
          <w:szCs w:val="20"/>
        </w:rPr>
        <w:t>FASB</w:t>
      </w:r>
      <w:r>
        <w:rPr>
          <w:szCs w:val="20"/>
        </w:rPr>
        <w:t xml:space="preserve"> issues an</w:t>
      </w:r>
      <w:r w:rsidRPr="00AA4E34">
        <w:rPr>
          <w:szCs w:val="20"/>
        </w:rPr>
        <w:t xml:space="preserve"> </w:t>
      </w:r>
      <w:r w:rsidRPr="004221A3">
        <w:rPr>
          <w:i/>
          <w:szCs w:val="20"/>
        </w:rPr>
        <w:t>Accounting Standards Update</w:t>
      </w:r>
      <w:r>
        <w:rPr>
          <w:szCs w:val="20"/>
        </w:rPr>
        <w:t>.</w:t>
      </w:r>
      <w:r w:rsidR="0060228C">
        <w:rPr>
          <w:szCs w:val="20"/>
          <w:u w:val="single"/>
        </w:rPr>
        <w:br w:type="page"/>
      </w:r>
    </w:p>
    <w:p w:rsidR="00AE5450" w:rsidRDefault="00FE0D30" w:rsidP="006934F4">
      <w:pPr>
        <w:pStyle w:val="QA"/>
        <w:rPr>
          <w:szCs w:val="20"/>
        </w:rPr>
      </w:pPr>
      <w:r w:rsidRPr="003A16D2">
        <w:rPr>
          <w:szCs w:val="20"/>
          <w:u w:val="single"/>
        </w:rPr>
        <w:lastRenderedPageBreak/>
        <w:t>Q1-13</w:t>
      </w:r>
      <w:r w:rsidR="00DB6794">
        <w:rPr>
          <w:szCs w:val="20"/>
        </w:rPr>
        <w:tab/>
      </w:r>
      <w:r w:rsidR="00101FA0">
        <w:rPr>
          <w:szCs w:val="20"/>
        </w:rPr>
        <w:t>The FASB and IASB are structured very similarly, in organizations that are overseen and supported by Boards of Trustees, and supported by large staffs of professional and technical experts and administrative support. Both Boards follow similar open, careful due processes in deliberating new accounting standards. Whereas the FASB is a 7-member Board</w:t>
      </w:r>
      <w:r w:rsidR="00057702">
        <w:rPr>
          <w:szCs w:val="20"/>
        </w:rPr>
        <w:t xml:space="preserve"> consisting of only U.S. members</w:t>
      </w:r>
      <w:r w:rsidR="00101FA0">
        <w:rPr>
          <w:szCs w:val="20"/>
        </w:rPr>
        <w:t>, the IASB is larger, with</w:t>
      </w:r>
      <w:r w:rsidR="00AE5450">
        <w:rPr>
          <w:szCs w:val="20"/>
        </w:rPr>
        <w:t xml:space="preserve"> 1</w:t>
      </w:r>
      <w:r w:rsidR="00101FA0">
        <w:rPr>
          <w:szCs w:val="20"/>
        </w:rPr>
        <w:t>6</w:t>
      </w:r>
      <w:r w:rsidR="00AE5450">
        <w:rPr>
          <w:szCs w:val="20"/>
        </w:rPr>
        <w:t xml:space="preserve"> full-time members</w:t>
      </w:r>
      <w:r w:rsidR="00101FA0">
        <w:rPr>
          <w:szCs w:val="20"/>
        </w:rPr>
        <w:t xml:space="preserve">. The composition of the IASB is structured to contain representation from different countries and regions of the world. The </w:t>
      </w:r>
      <w:r w:rsidR="00AE5450">
        <w:rPr>
          <w:szCs w:val="20"/>
        </w:rPr>
        <w:t>I</w:t>
      </w:r>
      <w:r w:rsidR="00101FA0">
        <w:rPr>
          <w:szCs w:val="20"/>
        </w:rPr>
        <w:t>ASB</w:t>
      </w:r>
      <w:r w:rsidR="00AE5450">
        <w:rPr>
          <w:szCs w:val="20"/>
        </w:rPr>
        <w:t xml:space="preserve"> issues </w:t>
      </w:r>
      <w:r w:rsidR="00AE5450" w:rsidRPr="0066321C">
        <w:rPr>
          <w:i/>
          <w:szCs w:val="20"/>
        </w:rPr>
        <w:t>I</w:t>
      </w:r>
      <w:r w:rsidR="00AE5450" w:rsidRPr="009A127D">
        <w:rPr>
          <w:i/>
          <w:szCs w:val="20"/>
        </w:rPr>
        <w:t>nternational Financial Reporting Standards (IFRS)</w:t>
      </w:r>
      <w:r w:rsidR="00AE5450">
        <w:rPr>
          <w:szCs w:val="20"/>
        </w:rPr>
        <w:t xml:space="preserve">. To do so, its operating procedures include study of the topic, issuance of an Exposure Draft, evaluation of comments, and consideration of a revised draft. If approved by at least 9 members of the IASB, the </w:t>
      </w:r>
      <w:r w:rsidR="00AE5450" w:rsidRPr="009A127D">
        <w:rPr>
          <w:i/>
          <w:szCs w:val="20"/>
        </w:rPr>
        <w:t>International Financial Reporting Standard</w:t>
      </w:r>
      <w:r w:rsidR="00AE5450">
        <w:rPr>
          <w:szCs w:val="20"/>
        </w:rPr>
        <w:t xml:space="preserve"> is issued.</w:t>
      </w:r>
    </w:p>
    <w:p w:rsidR="00DB6794" w:rsidRDefault="00DB6794" w:rsidP="006934F4">
      <w:pPr>
        <w:pStyle w:val="QA"/>
        <w:rPr>
          <w:szCs w:val="20"/>
        </w:rPr>
      </w:pPr>
    </w:p>
    <w:p w:rsidR="00AE5450" w:rsidRDefault="00DB6794" w:rsidP="006934F4">
      <w:pPr>
        <w:pStyle w:val="QA"/>
        <w:rPr>
          <w:szCs w:val="20"/>
        </w:rPr>
      </w:pPr>
      <w:r w:rsidRPr="009A493E">
        <w:rPr>
          <w:szCs w:val="20"/>
          <w:u w:val="single"/>
        </w:rPr>
        <w:t>Q1-</w:t>
      </w:r>
      <w:r w:rsidR="00BA61E4" w:rsidRPr="009A493E">
        <w:rPr>
          <w:szCs w:val="20"/>
          <w:u w:val="single"/>
        </w:rPr>
        <w:t>1</w:t>
      </w:r>
      <w:r w:rsidR="009A493E" w:rsidRPr="009A493E">
        <w:rPr>
          <w:szCs w:val="20"/>
          <w:u w:val="single"/>
        </w:rPr>
        <w:t>4</w:t>
      </w:r>
      <w:r>
        <w:rPr>
          <w:szCs w:val="20"/>
        </w:rPr>
        <w:tab/>
      </w:r>
      <w:r w:rsidR="00AE5450">
        <w:rPr>
          <w:szCs w:val="20"/>
        </w:rPr>
        <w:t>They are the principles, concepts, guidelines, procedures, and practices that companies from the roughly 120 countries that have adopted IFRS are required to use in recording and reporting the accounting information in audited financial statements. In the U</w:t>
      </w:r>
      <w:r w:rsidR="002F4D8F">
        <w:rPr>
          <w:szCs w:val="20"/>
        </w:rPr>
        <w:t xml:space="preserve">nited </w:t>
      </w:r>
      <w:r w:rsidR="00AE5450">
        <w:rPr>
          <w:szCs w:val="20"/>
        </w:rPr>
        <w:t>S</w:t>
      </w:r>
      <w:r w:rsidR="002F4D8F">
        <w:rPr>
          <w:szCs w:val="20"/>
        </w:rPr>
        <w:t>tates</w:t>
      </w:r>
      <w:r w:rsidR="00AE5450">
        <w:rPr>
          <w:szCs w:val="20"/>
        </w:rPr>
        <w:t>, the SEC has decided to allow non-U.S. companies that are listed in the U</w:t>
      </w:r>
      <w:r w:rsidR="002F4D8F">
        <w:rPr>
          <w:szCs w:val="20"/>
        </w:rPr>
        <w:t xml:space="preserve">nited </w:t>
      </w:r>
      <w:r w:rsidR="00AE5450">
        <w:rPr>
          <w:szCs w:val="20"/>
        </w:rPr>
        <w:t>S</w:t>
      </w:r>
      <w:r w:rsidR="002F4D8F">
        <w:rPr>
          <w:szCs w:val="20"/>
        </w:rPr>
        <w:t>tates</w:t>
      </w:r>
      <w:r w:rsidR="00AE5450">
        <w:rPr>
          <w:szCs w:val="20"/>
        </w:rPr>
        <w:t xml:space="preserve"> and subject to SEC regulation to use IFRS for preparation of financial statements filed with the SEC.</w:t>
      </w:r>
    </w:p>
    <w:p w:rsidR="00DB6794" w:rsidRDefault="00DB6794" w:rsidP="006934F4">
      <w:pPr>
        <w:pStyle w:val="QA"/>
        <w:rPr>
          <w:szCs w:val="20"/>
        </w:rPr>
      </w:pPr>
    </w:p>
    <w:p w:rsidR="001933FC" w:rsidRDefault="00DB6794" w:rsidP="006934F4">
      <w:pPr>
        <w:pStyle w:val="QA"/>
        <w:rPr>
          <w:szCs w:val="20"/>
        </w:rPr>
      </w:pPr>
      <w:r w:rsidRPr="003A16D2">
        <w:rPr>
          <w:szCs w:val="20"/>
          <w:u w:val="single"/>
        </w:rPr>
        <w:t>Q1-</w:t>
      </w:r>
      <w:r w:rsidR="00BA61E4" w:rsidRPr="003A16D2">
        <w:rPr>
          <w:szCs w:val="20"/>
          <w:u w:val="single"/>
        </w:rPr>
        <w:t>15</w:t>
      </w:r>
      <w:r>
        <w:rPr>
          <w:szCs w:val="20"/>
        </w:rPr>
        <w:tab/>
      </w:r>
      <w:r w:rsidR="000B37AC">
        <w:rPr>
          <w:szCs w:val="20"/>
        </w:rPr>
        <w:t>B</w:t>
      </w:r>
      <w:r w:rsidR="000B37AC" w:rsidRPr="000B37AC">
        <w:rPr>
          <w:szCs w:val="20"/>
        </w:rPr>
        <w:t>ecause of the substantial economic consequences of new standards, key constituents often disagree about the objectives for new standards.</w:t>
      </w:r>
      <w:r w:rsidR="00FE0D30">
        <w:rPr>
          <w:szCs w:val="20"/>
        </w:rPr>
        <w:t xml:space="preserve"> </w:t>
      </w:r>
      <w:r w:rsidR="000B37AC" w:rsidRPr="000B37AC">
        <w:rPr>
          <w:szCs w:val="20"/>
        </w:rPr>
        <w:t xml:space="preserve">Because the Boards hold public hearings and open meetings, various external user groups (e.g., investors and creditors) and other interested parties (e.g., affected corporations and CPA firms) exert pressure to influence the new standards, continue existing standards, or change existing standards in their own best interests. In addition, research results about the likely effects of new standards are sometimes conflicting, and only </w:t>
      </w:r>
      <w:r w:rsidR="00877D51">
        <w:rPr>
          <w:szCs w:val="20"/>
        </w:rPr>
        <w:t>“</w:t>
      </w:r>
      <w:r w:rsidR="000B37AC" w:rsidRPr="000B37AC">
        <w:rPr>
          <w:szCs w:val="20"/>
        </w:rPr>
        <w:t>best guesses</w:t>
      </w:r>
      <w:r w:rsidR="00877D51">
        <w:rPr>
          <w:szCs w:val="20"/>
        </w:rPr>
        <w:t>”</w:t>
      </w:r>
      <w:r w:rsidR="000B37AC" w:rsidRPr="000B37AC">
        <w:rPr>
          <w:szCs w:val="20"/>
        </w:rPr>
        <w:t xml:space="preserve"> can be made of the future consequences of current standards. A particular difficulty is that costs of complying with new standards are often significant and measurable, whereas the benefits of new information to decision makers are diffuse and hard to quantify.</w:t>
      </w:r>
      <w:r w:rsidR="000B37AC">
        <w:rPr>
          <w:szCs w:val="20"/>
        </w:rPr>
        <w:t xml:space="preserve"> </w:t>
      </w:r>
      <w:r w:rsidR="000B37AC" w:rsidRPr="000B37AC">
        <w:rPr>
          <w:szCs w:val="20"/>
        </w:rPr>
        <w:t>As a consequence, the FASB and the IASB often make decisions about new accounting standards that sometimes require compromise between conflicting views and interests.</w:t>
      </w:r>
    </w:p>
    <w:p w:rsidR="00DB6794" w:rsidRDefault="00DB6794" w:rsidP="006934F4">
      <w:pPr>
        <w:pStyle w:val="QA"/>
        <w:rPr>
          <w:szCs w:val="20"/>
        </w:rPr>
      </w:pPr>
    </w:p>
    <w:p w:rsidR="001A1B1A" w:rsidRPr="001A1B1A" w:rsidRDefault="00DB6794" w:rsidP="006934F4">
      <w:pPr>
        <w:pStyle w:val="QA"/>
        <w:rPr>
          <w:szCs w:val="20"/>
        </w:rPr>
      </w:pPr>
      <w:r>
        <w:rPr>
          <w:szCs w:val="20"/>
          <w:u w:val="single"/>
        </w:rPr>
        <w:t>Q1-</w:t>
      </w:r>
      <w:r w:rsidR="00BA61E4">
        <w:rPr>
          <w:szCs w:val="20"/>
          <w:u w:val="single"/>
        </w:rPr>
        <w:t>16</w:t>
      </w:r>
      <w:r>
        <w:rPr>
          <w:szCs w:val="20"/>
        </w:rPr>
        <w:tab/>
      </w:r>
      <w:r w:rsidR="001A1B1A" w:rsidRPr="001A1B1A">
        <w:rPr>
          <w:szCs w:val="20"/>
        </w:rPr>
        <w:t xml:space="preserve">The FASB and the IASB have been working together toward convergence since the </w:t>
      </w:r>
      <w:r w:rsidR="00877D51">
        <w:rPr>
          <w:szCs w:val="20"/>
        </w:rPr>
        <w:t>“</w:t>
      </w:r>
      <w:r w:rsidR="001A1B1A">
        <w:rPr>
          <w:szCs w:val="20"/>
        </w:rPr>
        <w:t>Norwalk Agreement</w:t>
      </w:r>
      <w:r w:rsidR="00877D51">
        <w:rPr>
          <w:szCs w:val="20"/>
        </w:rPr>
        <w:t>”</w:t>
      </w:r>
      <w:r w:rsidR="001A1B1A" w:rsidRPr="001A1B1A">
        <w:rPr>
          <w:szCs w:val="20"/>
        </w:rPr>
        <w:t xml:space="preserve"> </w:t>
      </w:r>
      <w:r w:rsidR="001A1B1A">
        <w:rPr>
          <w:szCs w:val="20"/>
        </w:rPr>
        <w:t xml:space="preserve">in </w:t>
      </w:r>
      <w:r w:rsidR="001A1B1A" w:rsidRPr="001A1B1A">
        <w:rPr>
          <w:szCs w:val="20"/>
        </w:rPr>
        <w:t xml:space="preserve">2002. At that time the two Boards entered into </w:t>
      </w:r>
      <w:r w:rsidR="001A1B1A">
        <w:rPr>
          <w:szCs w:val="20"/>
        </w:rPr>
        <w:t>this agreement to work together on</w:t>
      </w:r>
      <w:r w:rsidR="001A1B1A" w:rsidRPr="001A1B1A">
        <w:rPr>
          <w:szCs w:val="20"/>
        </w:rPr>
        <w:t xml:space="preserve"> the development of high-quality, compatible accounting standards that could be used for both </w:t>
      </w:r>
      <w:r w:rsidR="00877D51">
        <w:rPr>
          <w:szCs w:val="20"/>
        </w:rPr>
        <w:t>“</w:t>
      </w:r>
      <w:r w:rsidR="001A1B1A" w:rsidRPr="001A1B1A">
        <w:rPr>
          <w:szCs w:val="20"/>
        </w:rPr>
        <w:t>domestic</w:t>
      </w:r>
      <w:r w:rsidR="00877D51">
        <w:rPr>
          <w:szCs w:val="20"/>
        </w:rPr>
        <w:t>”</w:t>
      </w:r>
      <w:r w:rsidR="001A1B1A" w:rsidRPr="001A1B1A">
        <w:rPr>
          <w:szCs w:val="20"/>
        </w:rPr>
        <w:t xml:space="preserve"> and </w:t>
      </w:r>
      <w:r w:rsidR="00877D51">
        <w:rPr>
          <w:szCs w:val="20"/>
        </w:rPr>
        <w:t>“</w:t>
      </w:r>
      <w:r w:rsidR="001A1B1A" w:rsidRPr="001A1B1A">
        <w:rPr>
          <w:szCs w:val="20"/>
        </w:rPr>
        <w:t>cross-border</w:t>
      </w:r>
      <w:r w:rsidR="00877D51">
        <w:rPr>
          <w:szCs w:val="20"/>
        </w:rPr>
        <w:t>”</w:t>
      </w:r>
      <w:r w:rsidR="001A1B1A" w:rsidRPr="001A1B1A">
        <w:rPr>
          <w:szCs w:val="20"/>
        </w:rPr>
        <w:t xml:space="preserve"> financial reporting. More recently, the two Boards entered into a Memorandum of Understanding (MoU), originally issued in 2006 and updated in 2008.</w:t>
      </w:r>
      <w:r w:rsidR="001A1B1A" w:rsidRPr="001A1B1A">
        <w:rPr>
          <w:szCs w:val="20"/>
          <w:vertAlign w:val="superscript"/>
        </w:rPr>
        <w:t xml:space="preserve"> </w:t>
      </w:r>
      <w:r w:rsidR="001A1B1A" w:rsidRPr="001A1B1A">
        <w:rPr>
          <w:szCs w:val="20"/>
        </w:rPr>
        <w:t>The two Boards collaborate through joint projects to develop common standards. Reaffirming their commitment to convergence, the Boards in 2009 and 2010 have identified a number of major projects they are undertaking jointly, as well as short-term projects (in which convergence can occur fairly quickly).</w:t>
      </w:r>
      <w:r w:rsidR="001A1B1A">
        <w:rPr>
          <w:szCs w:val="20"/>
        </w:rPr>
        <w:t xml:space="preserve"> </w:t>
      </w:r>
      <w:r w:rsidR="00ED1FE6">
        <w:rPr>
          <w:szCs w:val="20"/>
        </w:rPr>
        <w:t xml:space="preserve">The </w:t>
      </w:r>
      <w:r w:rsidR="001A1B1A">
        <w:rPr>
          <w:szCs w:val="20"/>
        </w:rPr>
        <w:t>major</w:t>
      </w:r>
      <w:r w:rsidR="00ED1FE6">
        <w:rPr>
          <w:szCs w:val="20"/>
        </w:rPr>
        <w:t xml:space="preserve"> long-term convergence projects of the FASB and IASB </w:t>
      </w:r>
      <w:r w:rsidR="001A1B1A">
        <w:rPr>
          <w:szCs w:val="20"/>
        </w:rPr>
        <w:t>will address</w:t>
      </w:r>
      <w:r w:rsidR="001A1B1A" w:rsidRPr="001A1B1A">
        <w:rPr>
          <w:szCs w:val="20"/>
        </w:rPr>
        <w:t xml:space="preserve"> convergence of accounting standards for:</w:t>
      </w:r>
    </w:p>
    <w:p w:rsidR="00E7046A" w:rsidRPr="008C0D15" w:rsidRDefault="00E7046A" w:rsidP="008C0D15">
      <w:pPr>
        <w:pStyle w:val="QAbullettdlist"/>
      </w:pPr>
      <w:r w:rsidRPr="008C0D15">
        <w:t>Consolidated financial statements</w:t>
      </w:r>
    </w:p>
    <w:p w:rsidR="001A1B1A" w:rsidRPr="005D5C1F" w:rsidRDefault="00E7046A" w:rsidP="00A96440">
      <w:pPr>
        <w:pStyle w:val="QAbullettdlist"/>
      </w:pPr>
      <w:r w:rsidRPr="00E7046A">
        <w:t>Fair value measurement</w:t>
      </w:r>
    </w:p>
    <w:p w:rsidR="001A1B1A" w:rsidRPr="005D5C1F" w:rsidRDefault="001A1B1A" w:rsidP="00A96440">
      <w:pPr>
        <w:pStyle w:val="QAbullettdlist"/>
      </w:pPr>
      <w:r w:rsidRPr="005D5C1F">
        <w:t>F</w:t>
      </w:r>
      <w:r w:rsidR="00285F32" w:rsidRPr="005D5C1F">
        <w:t>inancial statement presentation</w:t>
      </w:r>
    </w:p>
    <w:p w:rsidR="001A1B1A" w:rsidRPr="005D5C1F" w:rsidRDefault="00285F32" w:rsidP="00A96440">
      <w:pPr>
        <w:pStyle w:val="QAbullettdlist"/>
      </w:pPr>
      <w:r w:rsidRPr="005D5C1F">
        <w:t>Leases</w:t>
      </w:r>
    </w:p>
    <w:p w:rsidR="005D5C1F" w:rsidRPr="005D5C1F" w:rsidRDefault="005D5C1F" w:rsidP="00A96440">
      <w:pPr>
        <w:pStyle w:val="QAbullettdlist"/>
      </w:pPr>
      <w:r w:rsidRPr="005D5C1F">
        <w:t>Financial instruments</w:t>
      </w:r>
    </w:p>
    <w:p w:rsidR="0060228C" w:rsidRPr="0060228C" w:rsidRDefault="005D5C1F" w:rsidP="0060228C">
      <w:pPr>
        <w:pStyle w:val="QAbullettdlist"/>
        <w:widowControl/>
        <w:autoSpaceDE/>
        <w:autoSpaceDN/>
        <w:adjustRightInd/>
        <w:rPr>
          <w:rFonts w:cs="Arial"/>
          <w:u w:val="single"/>
        </w:rPr>
      </w:pPr>
      <w:r w:rsidRPr="005D5C1F">
        <w:t>Revenue recognition</w:t>
      </w:r>
      <w:r w:rsidR="0060228C" w:rsidRPr="0060228C">
        <w:rPr>
          <w:u w:val="single"/>
        </w:rPr>
        <w:br w:type="page"/>
      </w:r>
    </w:p>
    <w:p w:rsidR="008348D0" w:rsidRDefault="00DB6794" w:rsidP="006934F4">
      <w:pPr>
        <w:pStyle w:val="QA"/>
        <w:rPr>
          <w:szCs w:val="20"/>
        </w:rPr>
      </w:pPr>
      <w:r>
        <w:rPr>
          <w:szCs w:val="20"/>
          <w:u w:val="single"/>
        </w:rPr>
        <w:lastRenderedPageBreak/>
        <w:t>Q1-17</w:t>
      </w:r>
      <w:r>
        <w:rPr>
          <w:szCs w:val="20"/>
        </w:rPr>
        <w:tab/>
      </w:r>
      <w:r w:rsidR="008348D0" w:rsidRPr="008348D0">
        <w:rPr>
          <w:szCs w:val="20"/>
        </w:rPr>
        <w:t xml:space="preserve">The </w:t>
      </w:r>
      <w:r w:rsidR="008348D0">
        <w:rPr>
          <w:szCs w:val="20"/>
        </w:rPr>
        <w:t>four</w:t>
      </w:r>
      <w:r w:rsidR="008348D0" w:rsidRPr="008348D0">
        <w:rPr>
          <w:szCs w:val="20"/>
        </w:rPr>
        <w:t xml:space="preserve"> major financial statements of a company and what they </w:t>
      </w:r>
      <w:r w:rsidR="008348D0">
        <w:rPr>
          <w:szCs w:val="20"/>
        </w:rPr>
        <w:t>report</w:t>
      </w:r>
      <w:r w:rsidR="002A7F60">
        <w:rPr>
          <w:szCs w:val="20"/>
        </w:rPr>
        <w:t xml:space="preserve"> are:</w:t>
      </w:r>
    </w:p>
    <w:p w:rsidR="002A7F60" w:rsidRPr="002A7F60" w:rsidRDefault="002A7F60" w:rsidP="002A7F60">
      <w:pPr>
        <w:pStyle w:val="6pt"/>
      </w:pPr>
    </w:p>
    <w:p w:rsidR="00984D5C" w:rsidRPr="00E53C5C" w:rsidRDefault="00FE0D30" w:rsidP="00E53C5C">
      <w:pPr>
        <w:pStyle w:val="QAsub"/>
      </w:pPr>
      <w:r w:rsidRPr="00E53C5C">
        <w:tab/>
      </w:r>
      <w:r w:rsidR="008348D0" w:rsidRPr="00E53C5C">
        <w:t>(1)</w:t>
      </w:r>
      <w:r w:rsidRPr="00E53C5C">
        <w:tab/>
      </w:r>
      <w:r w:rsidR="00984D5C" w:rsidRPr="00E53C5C">
        <w:t xml:space="preserve">The balance sheet, or statement of financial position, presents a snapshot of the resources of a firm (assets) and the claims on </w:t>
      </w:r>
      <w:r w:rsidR="00E53C5C" w:rsidRPr="00E53C5C">
        <w:rPr>
          <w:rFonts w:cs="Tahoma"/>
          <w:color w:val="000000"/>
          <w:szCs w:val="20"/>
        </w:rPr>
        <w:t xml:space="preserve">the company </w:t>
      </w:r>
      <w:r w:rsidR="00984D5C" w:rsidRPr="00E53C5C">
        <w:t>(liabilities and shareholders</w:t>
      </w:r>
      <w:r w:rsidR="0077707C" w:rsidRPr="00E53C5C">
        <w:t>’</w:t>
      </w:r>
      <w:r w:rsidR="00984D5C" w:rsidRPr="00E53C5C">
        <w:t xml:space="preserve"> equity) as of a specific date (usually the last day of the fiscal quarter or the fiscal year). The balance sheet reports the following equality:</w:t>
      </w:r>
    </w:p>
    <w:p w:rsidR="0057403B" w:rsidRDefault="0057403B" w:rsidP="0057403B">
      <w:pPr>
        <w:pStyle w:val="6pt"/>
      </w:pPr>
    </w:p>
    <w:p w:rsidR="003F1150" w:rsidRDefault="00FE0D30" w:rsidP="003F1150">
      <w:pPr>
        <w:pStyle w:val="QAsub"/>
        <w:tabs>
          <w:tab w:val="left" w:pos="2160"/>
        </w:tabs>
      </w:pPr>
      <w:r w:rsidRPr="002472AF">
        <w:tab/>
      </w:r>
      <w:r w:rsidRPr="002472AF">
        <w:tab/>
      </w:r>
      <w:r w:rsidRPr="002472AF">
        <w:tab/>
      </w:r>
      <w:r w:rsidR="00984D5C" w:rsidRPr="002472AF">
        <w:t>Assets = Liabilities + Shareholders</w:t>
      </w:r>
      <w:r w:rsidR="0077707C" w:rsidRPr="002472AF">
        <w:t>’</w:t>
      </w:r>
      <w:r w:rsidR="00984D5C" w:rsidRPr="002472AF">
        <w:t xml:space="preserve"> Equity</w:t>
      </w:r>
    </w:p>
    <w:p w:rsidR="00350A73" w:rsidRDefault="00350A73">
      <w:pPr>
        <w:widowControl/>
        <w:autoSpaceDE/>
        <w:autoSpaceDN/>
        <w:adjustRightInd/>
        <w:rPr>
          <w:rFonts w:cs="Arial"/>
          <w:szCs w:val="22"/>
        </w:rPr>
      </w:pPr>
    </w:p>
    <w:p w:rsidR="008348D0" w:rsidRDefault="00FE0D30" w:rsidP="00FE0D30">
      <w:pPr>
        <w:pStyle w:val="QAsub"/>
      </w:pPr>
      <w:r>
        <w:tab/>
      </w:r>
      <w:r w:rsidR="008348D0" w:rsidRPr="008348D0">
        <w:t>(2)</w:t>
      </w:r>
      <w:r>
        <w:tab/>
      </w:r>
      <w:r w:rsidR="00984D5C">
        <w:t>T</w:t>
      </w:r>
      <w:r w:rsidR="00984D5C" w:rsidRPr="008742B8">
        <w:t>he income statement measures and reports the financial results of a firm</w:t>
      </w:r>
      <w:r w:rsidR="0077707C">
        <w:t>’</w:t>
      </w:r>
      <w:r w:rsidR="00984D5C" w:rsidRPr="008742B8">
        <w:t>s performance for a period of time, usually a quarter or a year.</w:t>
      </w:r>
      <w:r>
        <w:t xml:space="preserve"> </w:t>
      </w:r>
      <w:r w:rsidR="00984D5C" w:rsidRPr="008742B8">
        <w:t>The income statement provides information about the profits (or losses) the firm has generated during the period by conducting operating, investing, and financing activities.</w:t>
      </w:r>
    </w:p>
    <w:p w:rsidR="002A7F60" w:rsidRDefault="002A7F60" w:rsidP="002A7F60">
      <w:pPr>
        <w:pStyle w:val="6pt"/>
      </w:pPr>
    </w:p>
    <w:p w:rsidR="008348D0" w:rsidRDefault="00FE0D30" w:rsidP="00FE0D30">
      <w:pPr>
        <w:pStyle w:val="QAsub"/>
      </w:pPr>
      <w:r>
        <w:tab/>
      </w:r>
      <w:r w:rsidR="008348D0" w:rsidRPr="008348D0">
        <w:t>(3)</w:t>
      </w:r>
      <w:r>
        <w:tab/>
      </w:r>
      <w:r w:rsidR="00984D5C" w:rsidRPr="003B6C39">
        <w:t>The statement of cash flows reports for a period of time the net cash flows (inflows minus outflows) from the three principal categories of business activities: operating, investing, and financing.</w:t>
      </w:r>
    </w:p>
    <w:p w:rsidR="002A7F60" w:rsidRDefault="002A7F60" w:rsidP="002A7F60">
      <w:pPr>
        <w:pStyle w:val="6pt"/>
      </w:pPr>
    </w:p>
    <w:p w:rsidR="00DB6794" w:rsidRDefault="00FE0D30" w:rsidP="00FE0D30">
      <w:pPr>
        <w:pStyle w:val="QAsub"/>
      </w:pPr>
      <w:r>
        <w:tab/>
      </w:r>
      <w:r w:rsidR="008348D0">
        <w:t>(4)</w:t>
      </w:r>
      <w:r>
        <w:tab/>
      </w:r>
      <w:r w:rsidR="00984D5C">
        <w:t>T</w:t>
      </w:r>
      <w:r w:rsidR="00984D5C" w:rsidRPr="00EC3BC0">
        <w:t>he statement of shareholders</w:t>
      </w:r>
      <w:r w:rsidR="0077707C">
        <w:t>’</w:t>
      </w:r>
      <w:r w:rsidR="00984D5C" w:rsidRPr="00EC3BC0">
        <w:t xml:space="preserve"> equity (sometimes called the </w:t>
      </w:r>
      <w:r w:rsidR="00984D5C" w:rsidRPr="00EC3BC0">
        <w:rPr>
          <w:i/>
        </w:rPr>
        <w:t>statement of changes in shareholders</w:t>
      </w:r>
      <w:r w:rsidR="0077707C">
        <w:rPr>
          <w:i/>
        </w:rPr>
        <w:t>’</w:t>
      </w:r>
      <w:r w:rsidR="00984D5C" w:rsidRPr="00EC3BC0">
        <w:rPr>
          <w:i/>
        </w:rPr>
        <w:t xml:space="preserve"> equity</w:t>
      </w:r>
      <w:r w:rsidR="00984D5C" w:rsidRPr="00EC3BC0">
        <w:t>) provide</w:t>
      </w:r>
      <w:r w:rsidR="00984D5C">
        <w:t>s</w:t>
      </w:r>
      <w:r w:rsidR="00984D5C" w:rsidRPr="00EC3BC0">
        <w:t xml:space="preserve"> information about the common shareholders</w:t>
      </w:r>
      <w:r w:rsidR="0077707C">
        <w:t>’</w:t>
      </w:r>
      <w:r w:rsidR="00984D5C" w:rsidRPr="00EC3BC0">
        <w:t xml:space="preserve"> equity claims on the company, and how those claims changed during the period.</w:t>
      </w:r>
    </w:p>
    <w:p w:rsidR="00DB6794" w:rsidRDefault="00DB6794" w:rsidP="006934F4">
      <w:pPr>
        <w:pStyle w:val="QA"/>
        <w:rPr>
          <w:szCs w:val="20"/>
        </w:rPr>
      </w:pPr>
    </w:p>
    <w:p w:rsidR="00AF608E" w:rsidRDefault="00DB6794" w:rsidP="006934F4">
      <w:pPr>
        <w:pStyle w:val="QA"/>
        <w:rPr>
          <w:szCs w:val="20"/>
        </w:rPr>
      </w:pPr>
      <w:r>
        <w:rPr>
          <w:szCs w:val="20"/>
          <w:u w:val="single"/>
        </w:rPr>
        <w:t>Q1-18</w:t>
      </w:r>
      <w:r>
        <w:rPr>
          <w:szCs w:val="20"/>
        </w:rPr>
        <w:tab/>
      </w:r>
      <w:r w:rsidR="00AF608E" w:rsidRPr="00AF608E">
        <w:rPr>
          <w:szCs w:val="20"/>
        </w:rPr>
        <w:t>The balance sheet, or statement of financial position, presents a snapshot of the resources of a firm (assets) and the claims on th</w:t>
      </w:r>
      <w:r w:rsidR="00283566">
        <w:rPr>
          <w:szCs w:val="20"/>
        </w:rPr>
        <w:t>e company</w:t>
      </w:r>
      <w:r w:rsidR="00AF608E" w:rsidRPr="00AF608E">
        <w:rPr>
          <w:szCs w:val="20"/>
        </w:rPr>
        <w:t xml:space="preserve"> (liabilities and shareholders</w:t>
      </w:r>
      <w:r w:rsidR="0077707C">
        <w:rPr>
          <w:szCs w:val="20"/>
        </w:rPr>
        <w:t>’</w:t>
      </w:r>
      <w:r w:rsidR="00AF608E" w:rsidRPr="00AF608E">
        <w:rPr>
          <w:szCs w:val="20"/>
        </w:rPr>
        <w:t xml:space="preserve"> equity) as of a specific date (usually the last day of the fiscal quarter or the fiscal year). The balance sheet reports the </w:t>
      </w:r>
      <w:r w:rsidR="008742B8" w:rsidRPr="00AF608E">
        <w:rPr>
          <w:szCs w:val="20"/>
        </w:rPr>
        <w:t>following equality</w:t>
      </w:r>
      <w:r w:rsidR="00AF608E" w:rsidRPr="00AF608E">
        <w:rPr>
          <w:szCs w:val="20"/>
        </w:rPr>
        <w:t>:</w:t>
      </w:r>
    </w:p>
    <w:p w:rsidR="005437B6" w:rsidRPr="00AF608E" w:rsidRDefault="005437B6" w:rsidP="005437B6">
      <w:pPr>
        <w:pStyle w:val="6pt"/>
      </w:pPr>
    </w:p>
    <w:p w:rsidR="00AF608E" w:rsidRPr="002472AF" w:rsidRDefault="00AF608E" w:rsidP="002A7F60">
      <w:pPr>
        <w:pStyle w:val="QA"/>
        <w:tabs>
          <w:tab w:val="left" w:pos="2160"/>
        </w:tabs>
        <w:rPr>
          <w:szCs w:val="20"/>
        </w:rPr>
      </w:pPr>
      <w:r w:rsidRPr="002472AF">
        <w:rPr>
          <w:szCs w:val="20"/>
        </w:rPr>
        <w:tab/>
      </w:r>
      <w:r w:rsidRPr="002472AF">
        <w:rPr>
          <w:szCs w:val="20"/>
        </w:rPr>
        <w:tab/>
        <w:t>Assets = Liabilities + Shareholders</w:t>
      </w:r>
      <w:r w:rsidR="0077707C" w:rsidRPr="002472AF">
        <w:rPr>
          <w:szCs w:val="20"/>
        </w:rPr>
        <w:t>’</w:t>
      </w:r>
      <w:r w:rsidRPr="002472AF">
        <w:rPr>
          <w:szCs w:val="20"/>
        </w:rPr>
        <w:t xml:space="preserve"> Equity</w:t>
      </w:r>
    </w:p>
    <w:p w:rsidR="002A7F60" w:rsidRDefault="002A7F60" w:rsidP="002A7F60">
      <w:pPr>
        <w:pStyle w:val="6pt"/>
      </w:pPr>
    </w:p>
    <w:p w:rsidR="00ED1FE6" w:rsidRDefault="00AF608E" w:rsidP="006934F4">
      <w:pPr>
        <w:pStyle w:val="QA"/>
        <w:rPr>
          <w:szCs w:val="20"/>
        </w:rPr>
      </w:pPr>
      <w:r>
        <w:rPr>
          <w:szCs w:val="20"/>
        </w:rPr>
        <w:tab/>
        <w:t>Most stakeholders in a company, particularly investors and creditors, will be interested in balance sheet information because it reports the financial position (resources and obligations) of the company.</w:t>
      </w:r>
    </w:p>
    <w:p w:rsidR="00DB6794" w:rsidRDefault="00DB6794" w:rsidP="006934F4">
      <w:pPr>
        <w:pStyle w:val="QA"/>
        <w:rPr>
          <w:szCs w:val="20"/>
        </w:rPr>
      </w:pPr>
    </w:p>
    <w:p w:rsidR="008742B8" w:rsidRDefault="00DB6794" w:rsidP="006934F4">
      <w:pPr>
        <w:pStyle w:val="QA"/>
        <w:rPr>
          <w:szCs w:val="20"/>
        </w:rPr>
      </w:pPr>
      <w:r>
        <w:rPr>
          <w:szCs w:val="20"/>
          <w:u w:val="single"/>
        </w:rPr>
        <w:t>Q1-19</w:t>
      </w:r>
      <w:r>
        <w:rPr>
          <w:szCs w:val="20"/>
        </w:rPr>
        <w:tab/>
      </w:r>
      <w:r w:rsidR="008742B8">
        <w:rPr>
          <w:szCs w:val="20"/>
        </w:rPr>
        <w:t>T</w:t>
      </w:r>
      <w:r w:rsidR="008742B8" w:rsidRPr="008742B8">
        <w:rPr>
          <w:szCs w:val="20"/>
        </w:rPr>
        <w:t>he income statement measures and reports the financial results of a firm</w:t>
      </w:r>
      <w:r w:rsidR="0077707C">
        <w:rPr>
          <w:szCs w:val="20"/>
        </w:rPr>
        <w:t>’</w:t>
      </w:r>
      <w:r w:rsidR="008742B8" w:rsidRPr="008742B8">
        <w:rPr>
          <w:szCs w:val="20"/>
        </w:rPr>
        <w:t>s performance for a period of time, usually a quarter or a year.</w:t>
      </w:r>
      <w:r w:rsidR="00FE0D30">
        <w:rPr>
          <w:szCs w:val="20"/>
        </w:rPr>
        <w:t xml:space="preserve"> </w:t>
      </w:r>
      <w:r w:rsidR="008742B8" w:rsidRPr="008742B8">
        <w:rPr>
          <w:szCs w:val="20"/>
        </w:rPr>
        <w:t>The income statement provides information about the profits (or losses) the firm has generated during the period by conducting operating, investing, and financing activities.</w:t>
      </w:r>
      <w:r w:rsidR="00FE0D30">
        <w:rPr>
          <w:szCs w:val="20"/>
        </w:rPr>
        <w:t xml:space="preserve"> </w:t>
      </w:r>
      <w:r w:rsidR="008742B8">
        <w:rPr>
          <w:szCs w:val="20"/>
        </w:rPr>
        <w:t>Most stakeholders in a company, particularly equity investors, will be interested in income statement information because it reports the profits and losses that accrue to the common equity shareholders of the company.</w:t>
      </w:r>
      <w:r w:rsidR="00FE0D30">
        <w:rPr>
          <w:szCs w:val="20"/>
        </w:rPr>
        <w:t xml:space="preserve"> </w:t>
      </w:r>
      <w:r w:rsidR="008742B8">
        <w:rPr>
          <w:szCs w:val="20"/>
        </w:rPr>
        <w:t>The chapter shows empirical research evidence on how changes in earnings are associate</w:t>
      </w:r>
      <w:r w:rsidR="002A7F60">
        <w:rPr>
          <w:szCs w:val="20"/>
        </w:rPr>
        <w:t>d with changes in stock prices.</w:t>
      </w:r>
    </w:p>
    <w:p w:rsidR="002A7F60" w:rsidRDefault="002A7F60">
      <w:pPr>
        <w:widowControl/>
        <w:autoSpaceDE/>
        <w:autoSpaceDN/>
        <w:adjustRightInd/>
        <w:rPr>
          <w:rFonts w:ascii="Arial" w:hAnsi="Arial" w:cs="Arial"/>
          <w:sz w:val="22"/>
          <w:szCs w:val="20"/>
          <w:u w:val="single"/>
        </w:rPr>
      </w:pPr>
    </w:p>
    <w:p w:rsidR="003B6C39" w:rsidRDefault="00DB6794" w:rsidP="006934F4">
      <w:pPr>
        <w:pStyle w:val="QA"/>
        <w:rPr>
          <w:szCs w:val="20"/>
        </w:rPr>
      </w:pPr>
      <w:r>
        <w:rPr>
          <w:szCs w:val="20"/>
          <w:u w:val="single"/>
        </w:rPr>
        <w:t>Q1-20</w:t>
      </w:r>
      <w:r>
        <w:rPr>
          <w:szCs w:val="20"/>
        </w:rPr>
        <w:tab/>
      </w:r>
      <w:r w:rsidR="003B6C39" w:rsidRPr="003B6C39">
        <w:rPr>
          <w:szCs w:val="20"/>
        </w:rPr>
        <w:t>The statement of cash flows reports for a period of time the net cash flows (inflows minus outflows) from the three principal categories of business activities: operating, investing, and financing. The purpose of the statement of cash flows is important but simple: to provide useful information about how a firm is generating and using cash. The statement of cash flows provides information to complement the income statement, demonstrating how cash flows differ from accrual-based income.</w:t>
      </w:r>
    </w:p>
    <w:p w:rsidR="0060228C" w:rsidRDefault="0060228C">
      <w:pPr>
        <w:widowControl/>
        <w:autoSpaceDE/>
        <w:autoSpaceDN/>
        <w:adjustRightInd/>
        <w:rPr>
          <w:rFonts w:cs="Arial"/>
          <w:szCs w:val="20"/>
        </w:rPr>
      </w:pPr>
      <w:r>
        <w:rPr>
          <w:szCs w:val="20"/>
        </w:rPr>
        <w:br w:type="page"/>
      </w:r>
    </w:p>
    <w:p w:rsidR="003B6C39" w:rsidRPr="003B6C39" w:rsidRDefault="003B6C39" w:rsidP="006934F4">
      <w:pPr>
        <w:pStyle w:val="QA"/>
        <w:rPr>
          <w:szCs w:val="20"/>
        </w:rPr>
      </w:pPr>
      <w:r>
        <w:rPr>
          <w:szCs w:val="20"/>
        </w:rPr>
        <w:lastRenderedPageBreak/>
        <w:tab/>
      </w:r>
      <w:r w:rsidRPr="003B6C39">
        <w:rPr>
          <w:szCs w:val="20"/>
        </w:rPr>
        <w:t>Cash flow information is very helpful to financial statement users who want to gauge how the firm is executing its strategy.</w:t>
      </w:r>
      <w:r w:rsidR="00FE0D30">
        <w:rPr>
          <w:szCs w:val="20"/>
        </w:rPr>
        <w:t xml:space="preserve"> </w:t>
      </w:r>
      <w:r w:rsidRPr="003B6C39">
        <w:rPr>
          <w:szCs w:val="20"/>
        </w:rPr>
        <w:t>The statement is particularly useful to creditors and other stakeholders with claims on future cash flows of a firm. The statement of cash flows helps them evaluate the firm</w:t>
      </w:r>
      <w:r w:rsidR="0077707C">
        <w:rPr>
          <w:szCs w:val="20"/>
        </w:rPr>
        <w:t>’</w:t>
      </w:r>
      <w:r w:rsidRPr="003B6C39">
        <w:rPr>
          <w:szCs w:val="20"/>
        </w:rPr>
        <w:t>s cash-generating ability, giving them information about the likelihood of future cash flows for future payments of their obligations.</w:t>
      </w:r>
    </w:p>
    <w:p w:rsidR="00DB6794" w:rsidRDefault="00DB6794" w:rsidP="006934F4">
      <w:pPr>
        <w:pStyle w:val="QA"/>
      </w:pPr>
    </w:p>
    <w:p w:rsidR="00ED1FE6" w:rsidRDefault="00ED1FE6" w:rsidP="006934F4">
      <w:pPr>
        <w:pStyle w:val="QA"/>
        <w:rPr>
          <w:szCs w:val="20"/>
        </w:rPr>
      </w:pPr>
      <w:r>
        <w:rPr>
          <w:szCs w:val="20"/>
          <w:u w:val="single"/>
        </w:rPr>
        <w:t>Q1-21</w:t>
      </w:r>
      <w:r>
        <w:rPr>
          <w:szCs w:val="20"/>
        </w:rPr>
        <w:tab/>
      </w:r>
      <w:r w:rsidR="00EC3BC0">
        <w:rPr>
          <w:szCs w:val="20"/>
        </w:rPr>
        <w:t>T</w:t>
      </w:r>
      <w:r w:rsidR="00EC3BC0" w:rsidRPr="00EC3BC0">
        <w:rPr>
          <w:szCs w:val="20"/>
        </w:rPr>
        <w:t>he statement of shareholders</w:t>
      </w:r>
      <w:r w:rsidR="0077707C">
        <w:rPr>
          <w:szCs w:val="20"/>
        </w:rPr>
        <w:t>’</w:t>
      </w:r>
      <w:r w:rsidR="00EC3BC0" w:rsidRPr="00EC3BC0">
        <w:rPr>
          <w:szCs w:val="20"/>
        </w:rPr>
        <w:t xml:space="preserve"> equity (sometimes called the </w:t>
      </w:r>
      <w:r w:rsidR="00EC3BC0" w:rsidRPr="00EC3BC0">
        <w:rPr>
          <w:i/>
          <w:szCs w:val="20"/>
        </w:rPr>
        <w:t>statement of changes in shareholders</w:t>
      </w:r>
      <w:r w:rsidR="0077707C">
        <w:rPr>
          <w:i/>
          <w:szCs w:val="20"/>
        </w:rPr>
        <w:t>’</w:t>
      </w:r>
      <w:r w:rsidR="00EC3BC0" w:rsidRPr="00EC3BC0">
        <w:rPr>
          <w:i/>
          <w:szCs w:val="20"/>
        </w:rPr>
        <w:t xml:space="preserve"> equity</w:t>
      </w:r>
      <w:r w:rsidR="00EC3BC0" w:rsidRPr="00EC3BC0">
        <w:rPr>
          <w:szCs w:val="20"/>
        </w:rPr>
        <w:t>) provide</w:t>
      </w:r>
      <w:r w:rsidR="00EC3BC0">
        <w:rPr>
          <w:szCs w:val="20"/>
        </w:rPr>
        <w:t>s</w:t>
      </w:r>
      <w:r w:rsidR="00EC3BC0" w:rsidRPr="00EC3BC0">
        <w:rPr>
          <w:szCs w:val="20"/>
        </w:rPr>
        <w:t xml:space="preserve"> information about the common shareholders</w:t>
      </w:r>
      <w:r w:rsidR="0077707C">
        <w:rPr>
          <w:szCs w:val="20"/>
        </w:rPr>
        <w:t>’</w:t>
      </w:r>
      <w:r w:rsidR="00EC3BC0" w:rsidRPr="00EC3BC0">
        <w:rPr>
          <w:szCs w:val="20"/>
        </w:rPr>
        <w:t xml:space="preserve"> equity claims on the company, and how those claims changed during the period.</w:t>
      </w:r>
      <w:r w:rsidR="00FE0D30">
        <w:rPr>
          <w:szCs w:val="20"/>
        </w:rPr>
        <w:t xml:space="preserve"> </w:t>
      </w:r>
      <w:r w:rsidR="00EC3BC0" w:rsidRPr="00EC3BC0">
        <w:rPr>
          <w:szCs w:val="20"/>
        </w:rPr>
        <w:t>The year-end amounts reported in this statement for the various common shareholders</w:t>
      </w:r>
      <w:r w:rsidR="0077707C">
        <w:rPr>
          <w:szCs w:val="20"/>
        </w:rPr>
        <w:t>’</w:t>
      </w:r>
      <w:r w:rsidR="00EC3BC0" w:rsidRPr="00EC3BC0">
        <w:rPr>
          <w:szCs w:val="20"/>
        </w:rPr>
        <w:t xml:space="preserve"> equity accounts will match the amounts reported in the shareholders</w:t>
      </w:r>
      <w:r w:rsidR="0077707C">
        <w:rPr>
          <w:szCs w:val="20"/>
        </w:rPr>
        <w:t>’</w:t>
      </w:r>
      <w:r w:rsidR="00EC3BC0" w:rsidRPr="00EC3BC0">
        <w:rPr>
          <w:szCs w:val="20"/>
        </w:rPr>
        <w:t xml:space="preserve"> equity section of the balance sheet.</w:t>
      </w:r>
      <w:r w:rsidR="00FE0D30">
        <w:rPr>
          <w:szCs w:val="20"/>
        </w:rPr>
        <w:t xml:space="preserve"> </w:t>
      </w:r>
      <w:r w:rsidR="00EC3BC0">
        <w:rPr>
          <w:szCs w:val="20"/>
        </w:rPr>
        <w:t>Equity investors will be particularly interested in the information in this statement.</w:t>
      </w:r>
    </w:p>
    <w:p w:rsidR="00ED1FE6" w:rsidRDefault="00ED1FE6" w:rsidP="006934F4">
      <w:pPr>
        <w:pStyle w:val="QA"/>
      </w:pPr>
    </w:p>
    <w:p w:rsidR="00ED1FE6" w:rsidRDefault="00ED1FE6" w:rsidP="006934F4">
      <w:pPr>
        <w:pStyle w:val="QA"/>
        <w:rPr>
          <w:szCs w:val="20"/>
        </w:rPr>
      </w:pPr>
      <w:r>
        <w:rPr>
          <w:szCs w:val="20"/>
          <w:u w:val="single"/>
        </w:rPr>
        <w:t>Q1-22</w:t>
      </w:r>
      <w:r>
        <w:rPr>
          <w:szCs w:val="20"/>
        </w:rPr>
        <w:tab/>
      </w:r>
      <w:r w:rsidR="00A0185C" w:rsidRPr="00A0185C">
        <w:rPr>
          <w:szCs w:val="20"/>
        </w:rPr>
        <w:t>A firm</w:t>
      </w:r>
      <w:r w:rsidR="0077707C">
        <w:rPr>
          <w:szCs w:val="20"/>
        </w:rPr>
        <w:t>’</w:t>
      </w:r>
      <w:r w:rsidR="00A0185C" w:rsidRPr="00A0185C">
        <w:rPr>
          <w:szCs w:val="20"/>
        </w:rPr>
        <w:t>s accounting system records the results of transactions, events, and commercial arrangements and generates the financial statements, but the financial statements do not stand alone. To provide more relevant and representationally faithful information for financial statement users, firms typically provide a substantial amount of important additional information with the financial statements, including the Notes, Management Discussion and Analysis, and Managers</w:t>
      </w:r>
      <w:r w:rsidR="0077707C">
        <w:rPr>
          <w:szCs w:val="20"/>
        </w:rPr>
        <w:t>’</w:t>
      </w:r>
      <w:r w:rsidR="00A0185C" w:rsidRPr="00A0185C">
        <w:rPr>
          <w:szCs w:val="20"/>
        </w:rPr>
        <w:t xml:space="preserve"> and Independent Auditors</w:t>
      </w:r>
      <w:r w:rsidR="0077707C">
        <w:rPr>
          <w:szCs w:val="20"/>
        </w:rPr>
        <w:t>’</w:t>
      </w:r>
      <w:r w:rsidR="00A0185C" w:rsidRPr="00A0185C">
        <w:rPr>
          <w:szCs w:val="20"/>
        </w:rPr>
        <w:t xml:space="preserve"> Attestations.</w:t>
      </w:r>
      <w:r w:rsidR="00FE0D30">
        <w:rPr>
          <w:szCs w:val="20"/>
        </w:rPr>
        <w:t xml:space="preserve"> </w:t>
      </w:r>
      <w:r w:rsidR="00A0185C">
        <w:rPr>
          <w:szCs w:val="20"/>
        </w:rPr>
        <w:t>The notes to the statements explain the methods, assumptions, and estimates the firm has used in measuring and reporting the accounting informati</w:t>
      </w:r>
      <w:r w:rsidR="002A7F60">
        <w:rPr>
          <w:szCs w:val="20"/>
        </w:rPr>
        <w:t>on in the financial statements.</w:t>
      </w:r>
    </w:p>
    <w:p w:rsidR="00ED1FE6" w:rsidRDefault="00ED1FE6" w:rsidP="006934F4">
      <w:pPr>
        <w:pStyle w:val="QA"/>
      </w:pPr>
    </w:p>
    <w:p w:rsidR="00ED1FE6" w:rsidRDefault="00ED1FE6" w:rsidP="006934F4">
      <w:pPr>
        <w:pStyle w:val="QA"/>
        <w:rPr>
          <w:szCs w:val="20"/>
        </w:rPr>
      </w:pPr>
      <w:r>
        <w:rPr>
          <w:szCs w:val="20"/>
          <w:u w:val="single"/>
        </w:rPr>
        <w:t>Q1-23</w:t>
      </w:r>
      <w:r>
        <w:rPr>
          <w:szCs w:val="20"/>
        </w:rPr>
        <w:tab/>
      </w:r>
      <w:r w:rsidR="00A0185C" w:rsidRPr="00A0185C">
        <w:rPr>
          <w:szCs w:val="20"/>
        </w:rPr>
        <w:t xml:space="preserve">To illustrate the striking links between accounting earnings and stock returns, </w:t>
      </w:r>
      <w:r w:rsidR="00A0185C">
        <w:rPr>
          <w:szCs w:val="20"/>
        </w:rPr>
        <w:t xml:space="preserve">the chapter provides a brief discussion of </w:t>
      </w:r>
      <w:r w:rsidR="00A0185C" w:rsidRPr="00A0185C">
        <w:rPr>
          <w:szCs w:val="20"/>
        </w:rPr>
        <w:t>the results from empirical research by D. Craig Nichols and James Wahlen. They studied the average cumulative market-adjusted stock returns generated by firms during the 12 months leading up to and including the month in which each firm announced annual earnings numbers. For a sample of 31,923 firm-years between 1988 and 2001, they found that the average firm that announced an increase in earnings (over the prior year</w:t>
      </w:r>
      <w:r w:rsidR="0077707C">
        <w:rPr>
          <w:szCs w:val="20"/>
        </w:rPr>
        <w:t>’</w:t>
      </w:r>
      <w:r w:rsidR="00A0185C" w:rsidRPr="00A0185C">
        <w:rPr>
          <w:szCs w:val="20"/>
        </w:rPr>
        <w:t>s earnings) experienced stock returns that beat market average returns by roughly 19.2 percent. On the other hand, the average firm that announced a decrease in earnings experienced stock returns that were roughly 16.4 percent lower than the market average. Their results suggest that merely the sign of the change in earnings was associated with a 35.6 percent stock return differential in one year, on average, over their sample period.</w:t>
      </w:r>
      <w:r w:rsidR="00A0185C" w:rsidRPr="00A0185C">
        <w:rPr>
          <w:rFonts w:ascii="Times" w:hAnsi="Times"/>
          <w:sz w:val="24"/>
        </w:rPr>
        <w:t xml:space="preserve"> </w:t>
      </w:r>
      <w:r w:rsidR="00A0185C" w:rsidRPr="00A0185C">
        <w:rPr>
          <w:szCs w:val="20"/>
        </w:rPr>
        <w:t xml:space="preserve">The results show that </w:t>
      </w:r>
      <w:r w:rsidR="00A0185C">
        <w:rPr>
          <w:szCs w:val="20"/>
        </w:rPr>
        <w:t xml:space="preserve">earnings information has important economic consequences, because </w:t>
      </w:r>
      <w:r w:rsidR="00A0185C" w:rsidRPr="00A0185C">
        <w:rPr>
          <w:szCs w:val="20"/>
        </w:rPr>
        <w:t>changes in earnings are strongly associated with significant changes in share prices.</w:t>
      </w:r>
    </w:p>
    <w:p w:rsidR="00ED1FE6" w:rsidRDefault="00ED1FE6" w:rsidP="006934F4">
      <w:pPr>
        <w:pStyle w:val="QA"/>
        <w:rPr>
          <w:szCs w:val="20"/>
          <w:u w:val="single"/>
        </w:rPr>
      </w:pPr>
    </w:p>
    <w:p w:rsidR="002432E7" w:rsidRPr="002432E7" w:rsidRDefault="00ED1FE6" w:rsidP="006934F4">
      <w:pPr>
        <w:pStyle w:val="QA"/>
        <w:rPr>
          <w:szCs w:val="20"/>
        </w:rPr>
      </w:pPr>
      <w:r>
        <w:rPr>
          <w:szCs w:val="20"/>
          <w:u w:val="single"/>
        </w:rPr>
        <w:t>Q1-24</w:t>
      </w:r>
      <w:r>
        <w:rPr>
          <w:szCs w:val="20"/>
        </w:rPr>
        <w:tab/>
      </w:r>
      <w:r w:rsidR="002432E7" w:rsidRPr="002432E7">
        <w:rPr>
          <w:szCs w:val="20"/>
        </w:rPr>
        <w:t>As accountants, we create valuable financial information that stakeholders use to make informed resource allocation decisions about companies. Accounting information triggers substantial economic consequences for a wide array of different stakeholders in a company. Because accounting information has such important consequences for so many different stakeholders, being an accountant requires the ability to bear this great responsibility while behaving ethically.</w:t>
      </w:r>
    </w:p>
    <w:p w:rsidR="0060228C" w:rsidRDefault="0060228C">
      <w:pPr>
        <w:widowControl/>
        <w:autoSpaceDE/>
        <w:autoSpaceDN/>
        <w:adjustRightInd/>
        <w:rPr>
          <w:rFonts w:cs="Arial"/>
          <w:szCs w:val="20"/>
          <w:u w:val="single"/>
        </w:rPr>
      </w:pPr>
      <w:r>
        <w:rPr>
          <w:szCs w:val="20"/>
          <w:u w:val="single"/>
        </w:rPr>
        <w:br w:type="page"/>
      </w:r>
    </w:p>
    <w:p w:rsidR="0087266A" w:rsidRDefault="00ED1FE6" w:rsidP="006934F4">
      <w:pPr>
        <w:pStyle w:val="QA"/>
        <w:rPr>
          <w:szCs w:val="20"/>
        </w:rPr>
      </w:pPr>
      <w:r>
        <w:rPr>
          <w:szCs w:val="20"/>
          <w:u w:val="single"/>
        </w:rPr>
        <w:lastRenderedPageBreak/>
        <w:t>Q1-25</w:t>
      </w:r>
      <w:r>
        <w:rPr>
          <w:szCs w:val="20"/>
        </w:rPr>
        <w:tab/>
      </w:r>
      <w:r w:rsidR="0087266A">
        <w:rPr>
          <w:szCs w:val="20"/>
        </w:rPr>
        <w:t xml:space="preserve">The </w:t>
      </w:r>
      <w:r w:rsidR="0087266A" w:rsidRPr="00FC6951">
        <w:rPr>
          <w:i/>
          <w:szCs w:val="20"/>
        </w:rPr>
        <w:t>Code of Professional Conduct</w:t>
      </w:r>
      <w:r w:rsidR="0087266A">
        <w:rPr>
          <w:szCs w:val="20"/>
        </w:rPr>
        <w:t xml:space="preserve"> is a document published by the AICPA to help guide members in public practice, industry, government, and education in performing their responsibilities in an ethical and professional manner.</w:t>
      </w:r>
      <w:r w:rsidR="00FE0D30">
        <w:rPr>
          <w:szCs w:val="20"/>
        </w:rPr>
        <w:t xml:space="preserve"> </w:t>
      </w:r>
      <w:r w:rsidR="0087266A">
        <w:rPr>
          <w:szCs w:val="20"/>
        </w:rPr>
        <w:t>The six areas covered by the Principles include:</w:t>
      </w:r>
      <w:r w:rsidR="00FE0D30">
        <w:rPr>
          <w:szCs w:val="20"/>
        </w:rPr>
        <w:t xml:space="preserve"> </w:t>
      </w:r>
      <w:r w:rsidR="0087266A">
        <w:rPr>
          <w:szCs w:val="20"/>
        </w:rPr>
        <w:t>(1) responsibilities, (2) public interest, (3)</w:t>
      </w:r>
      <w:r w:rsidR="00E230D4">
        <w:rPr>
          <w:szCs w:val="20"/>
        </w:rPr>
        <w:t xml:space="preserve"> </w:t>
      </w:r>
      <w:r w:rsidR="0087266A">
        <w:rPr>
          <w:szCs w:val="20"/>
        </w:rPr>
        <w:t>integrity, (4) objectivity and independence, (5) due care, and (6)</w:t>
      </w:r>
      <w:r w:rsidR="00E230D4">
        <w:rPr>
          <w:szCs w:val="20"/>
        </w:rPr>
        <w:t xml:space="preserve"> </w:t>
      </w:r>
      <w:r w:rsidR="0087266A">
        <w:rPr>
          <w:szCs w:val="20"/>
        </w:rPr>
        <w:t>scope and nature of services.</w:t>
      </w:r>
    </w:p>
    <w:p w:rsidR="009B2C46" w:rsidRDefault="009B2C46">
      <w:pPr>
        <w:widowControl/>
        <w:autoSpaceDE/>
        <w:autoSpaceDN/>
        <w:adjustRightInd/>
        <w:rPr>
          <w:rFonts w:cs="Arial"/>
          <w:szCs w:val="20"/>
          <w:u w:val="single"/>
        </w:rPr>
      </w:pPr>
    </w:p>
    <w:p w:rsidR="008C0D15" w:rsidRDefault="008C0D15">
      <w:pPr>
        <w:widowControl/>
        <w:autoSpaceDE/>
        <w:autoSpaceDN/>
        <w:adjustRightInd/>
        <w:rPr>
          <w:rFonts w:cs="Arial"/>
          <w:szCs w:val="22"/>
          <w:u w:val="single"/>
        </w:rPr>
      </w:pPr>
    </w:p>
    <w:p w:rsidR="00A02308" w:rsidRPr="008C0D15" w:rsidRDefault="00A02308" w:rsidP="00A02308">
      <w:pPr>
        <w:pStyle w:val="SubHeading"/>
      </w:pPr>
      <w:r w:rsidRPr="008C0D15">
        <w:t>SOLUTION TO EXERCISE</w:t>
      </w:r>
    </w:p>
    <w:p w:rsidR="00A02308" w:rsidRPr="008C0D15" w:rsidRDefault="00A02308" w:rsidP="00EC3611">
      <w:pPr>
        <w:pStyle w:val="CaseAnswerHead"/>
        <w:rPr>
          <w:b w:val="0"/>
          <w:u w:val="single"/>
        </w:rPr>
      </w:pPr>
    </w:p>
    <w:p w:rsidR="00C51FA6" w:rsidRPr="00EC3611" w:rsidRDefault="00EC3611" w:rsidP="00EC3611">
      <w:pPr>
        <w:pStyle w:val="CaseAnswerHead"/>
        <w:rPr>
          <w:u w:val="single"/>
        </w:rPr>
      </w:pPr>
      <w:r w:rsidRPr="00EC3611">
        <w:rPr>
          <w:u w:val="single"/>
        </w:rPr>
        <w:t>E1-1</w:t>
      </w:r>
    </w:p>
    <w:p w:rsidR="00C51FA6" w:rsidRDefault="00C51FA6" w:rsidP="008C0D15">
      <w:pPr>
        <w:pStyle w:val="text"/>
        <w:tabs>
          <w:tab w:val="left" w:pos="2880"/>
          <w:tab w:val="left" w:pos="3600"/>
          <w:tab w:val="left" w:pos="5040"/>
          <w:tab w:val="left" w:pos="5670"/>
          <w:tab w:val="left" w:pos="7200"/>
          <w:tab w:val="left" w:pos="7920"/>
        </w:tabs>
        <w:rPr>
          <w:szCs w:val="20"/>
        </w:rPr>
      </w:pPr>
    </w:p>
    <w:p w:rsidR="00A02308" w:rsidRDefault="00A02308" w:rsidP="00E556C2">
      <w:pPr>
        <w:pStyle w:val="text"/>
        <w:tabs>
          <w:tab w:val="clear" w:pos="720"/>
          <w:tab w:val="left" w:pos="540"/>
          <w:tab w:val="left" w:pos="2160"/>
          <w:tab w:val="left" w:pos="2700"/>
          <w:tab w:val="left" w:pos="4320"/>
          <w:tab w:val="left" w:pos="4860"/>
          <w:tab w:val="left" w:pos="6480"/>
          <w:tab w:val="left" w:pos="7020"/>
        </w:tabs>
        <w:rPr>
          <w:szCs w:val="20"/>
        </w:rPr>
      </w:pPr>
      <w:r>
        <w:rPr>
          <w:szCs w:val="20"/>
        </w:rPr>
        <w:t>1.</w:t>
      </w:r>
      <w:r>
        <w:rPr>
          <w:szCs w:val="20"/>
        </w:rPr>
        <w:tab/>
      </w:r>
      <w:r w:rsidR="00597574">
        <w:rPr>
          <w:szCs w:val="20"/>
        </w:rPr>
        <w:t>e</w:t>
      </w:r>
      <w:r w:rsidR="008C0D15">
        <w:rPr>
          <w:szCs w:val="20"/>
        </w:rPr>
        <w:tab/>
        <w:t>3.</w:t>
      </w:r>
      <w:r w:rsidR="008C0D15">
        <w:rPr>
          <w:szCs w:val="20"/>
        </w:rPr>
        <w:tab/>
      </w:r>
      <w:r w:rsidR="00597574">
        <w:rPr>
          <w:szCs w:val="20"/>
        </w:rPr>
        <w:t>b</w:t>
      </w:r>
      <w:r w:rsidR="008C0D15">
        <w:rPr>
          <w:szCs w:val="20"/>
        </w:rPr>
        <w:tab/>
        <w:t>5.</w:t>
      </w:r>
      <w:r w:rsidR="008C0D15">
        <w:rPr>
          <w:szCs w:val="20"/>
        </w:rPr>
        <w:tab/>
      </w:r>
      <w:r w:rsidR="00597574">
        <w:rPr>
          <w:szCs w:val="20"/>
        </w:rPr>
        <w:t>g</w:t>
      </w:r>
      <w:r w:rsidR="008C0D15">
        <w:rPr>
          <w:szCs w:val="20"/>
        </w:rPr>
        <w:tab/>
        <w:t>7.</w:t>
      </w:r>
      <w:r w:rsidR="008C0D15">
        <w:rPr>
          <w:szCs w:val="20"/>
        </w:rPr>
        <w:tab/>
      </w:r>
      <w:r w:rsidR="00597574">
        <w:rPr>
          <w:szCs w:val="20"/>
        </w:rPr>
        <w:t>f</w:t>
      </w:r>
    </w:p>
    <w:p w:rsidR="00A02308" w:rsidRDefault="00A02308" w:rsidP="00E556C2">
      <w:pPr>
        <w:pStyle w:val="text"/>
        <w:tabs>
          <w:tab w:val="clear" w:pos="720"/>
          <w:tab w:val="left" w:pos="540"/>
          <w:tab w:val="left" w:pos="2160"/>
          <w:tab w:val="left" w:pos="2700"/>
          <w:tab w:val="left" w:pos="4320"/>
          <w:tab w:val="left" w:pos="4860"/>
          <w:tab w:val="left" w:pos="6480"/>
          <w:tab w:val="left" w:pos="7020"/>
        </w:tabs>
        <w:rPr>
          <w:szCs w:val="20"/>
        </w:rPr>
      </w:pPr>
      <w:r>
        <w:rPr>
          <w:szCs w:val="20"/>
        </w:rPr>
        <w:t>2.</w:t>
      </w:r>
      <w:r>
        <w:rPr>
          <w:szCs w:val="20"/>
        </w:rPr>
        <w:tab/>
      </w:r>
      <w:r w:rsidR="00597574">
        <w:rPr>
          <w:szCs w:val="20"/>
        </w:rPr>
        <w:t>c</w:t>
      </w:r>
      <w:r w:rsidR="008C0D15">
        <w:rPr>
          <w:szCs w:val="20"/>
        </w:rPr>
        <w:tab/>
        <w:t>4.</w:t>
      </w:r>
      <w:r w:rsidR="008C0D15">
        <w:rPr>
          <w:szCs w:val="20"/>
        </w:rPr>
        <w:tab/>
      </w:r>
      <w:r w:rsidR="00597574">
        <w:rPr>
          <w:szCs w:val="20"/>
        </w:rPr>
        <w:t>d</w:t>
      </w:r>
      <w:r w:rsidR="008C0D15">
        <w:rPr>
          <w:szCs w:val="20"/>
        </w:rPr>
        <w:tab/>
        <w:t>6.</w:t>
      </w:r>
      <w:r w:rsidR="008C0D15">
        <w:rPr>
          <w:szCs w:val="20"/>
        </w:rPr>
        <w:tab/>
      </w:r>
      <w:r w:rsidR="00597574">
        <w:rPr>
          <w:szCs w:val="20"/>
        </w:rPr>
        <w:t>a</w:t>
      </w:r>
    </w:p>
    <w:p w:rsidR="00295BF8" w:rsidRDefault="00295BF8">
      <w:pPr>
        <w:widowControl/>
        <w:autoSpaceDE/>
        <w:autoSpaceDN/>
        <w:adjustRightInd/>
        <w:rPr>
          <w:rFonts w:cs="Arial"/>
          <w:szCs w:val="22"/>
          <w:u w:val="single"/>
        </w:rPr>
      </w:pPr>
    </w:p>
    <w:p w:rsidR="0060228C" w:rsidRDefault="0060228C">
      <w:pPr>
        <w:widowControl/>
        <w:autoSpaceDE/>
        <w:autoSpaceDN/>
        <w:adjustRightInd/>
        <w:rPr>
          <w:rFonts w:cs="Arial"/>
          <w:szCs w:val="22"/>
          <w:u w:val="single"/>
        </w:rPr>
      </w:pPr>
    </w:p>
    <w:p w:rsidR="00DB6794" w:rsidRPr="007756D4" w:rsidRDefault="00DB6794" w:rsidP="00A85F85">
      <w:pPr>
        <w:pStyle w:val="SubHeading"/>
      </w:pPr>
      <w:r w:rsidRPr="007756D4">
        <w:t>ANSWERS TO CASES</w:t>
      </w:r>
    </w:p>
    <w:p w:rsidR="00DB6794" w:rsidRDefault="00DB6794" w:rsidP="00E230D4">
      <w:pPr>
        <w:pStyle w:val="text"/>
      </w:pPr>
    </w:p>
    <w:p w:rsidR="00B3255F" w:rsidRPr="00762272" w:rsidRDefault="00B3255F" w:rsidP="00A85F85">
      <w:pPr>
        <w:pStyle w:val="CaseAnswerHead"/>
      </w:pPr>
      <w:r w:rsidRPr="00A85F85">
        <w:rPr>
          <w:u w:val="single"/>
        </w:rPr>
        <w:t>C1-1</w:t>
      </w:r>
      <w:r w:rsidR="007E1C70">
        <w:tab/>
      </w:r>
      <w:r w:rsidRPr="00762272">
        <w:t xml:space="preserve">[AICPA </w:t>
      </w:r>
      <w:r w:rsidR="009679DC">
        <w:t>A</w:t>
      </w:r>
      <w:r w:rsidR="005E1C80">
        <w:t>dapted]</w:t>
      </w:r>
    </w:p>
    <w:p w:rsidR="00B3255F" w:rsidRDefault="00B3255F" w:rsidP="00E230D4">
      <w:pPr>
        <w:pStyle w:val="text"/>
      </w:pPr>
    </w:p>
    <w:p w:rsidR="006A7EDD" w:rsidRDefault="00B3255F" w:rsidP="006A7EDD">
      <w:pPr>
        <w:pStyle w:val="NumList"/>
      </w:pPr>
      <w:r w:rsidRPr="00277E7A">
        <w:t>1.</w:t>
      </w:r>
      <w:r w:rsidRPr="00277E7A">
        <w:tab/>
        <w:t xml:space="preserve">The term </w:t>
      </w:r>
      <w:r w:rsidR="00877D51">
        <w:t>“</w:t>
      </w:r>
      <w:r w:rsidRPr="00277E7A">
        <w:t>accounting principles</w:t>
      </w:r>
      <w:r w:rsidR="00877D51">
        <w:t>”</w:t>
      </w:r>
      <w:r w:rsidRPr="00277E7A">
        <w:t xml:space="preserve"> in the auditor</w:t>
      </w:r>
      <w:r w:rsidR="0077707C" w:rsidRPr="00277E7A">
        <w:t>’</w:t>
      </w:r>
      <w:r w:rsidRPr="00277E7A">
        <w:t xml:space="preserve">s report includes not only accounting principles but also </w:t>
      </w:r>
      <w:r w:rsidR="001C24DC" w:rsidRPr="00277E7A">
        <w:t xml:space="preserve">concepts, </w:t>
      </w:r>
      <w:r w:rsidRPr="00277E7A">
        <w:t>practices and the methods of applying them.</w:t>
      </w:r>
      <w:r w:rsidR="00FE0D30" w:rsidRPr="00277E7A">
        <w:t xml:space="preserve"> </w:t>
      </w:r>
      <w:r w:rsidR="006A7EDD">
        <w:t xml:space="preserve">The auditor's report typically refers to </w:t>
      </w:r>
      <w:r w:rsidR="00877D51">
        <w:t>“</w:t>
      </w:r>
      <w:r w:rsidR="006A7EDD">
        <w:t>accounting principles</w:t>
      </w:r>
      <w:r w:rsidR="00877D51">
        <w:t>”</w:t>
      </w:r>
      <w:r w:rsidR="006A7EDD">
        <w:t xml:space="preserve"> being applied by the firm being audited. The independent auditor's attestation as to the fairness of a company's financial statements relative to U.S. GAAP or IFRS is an essential element for the reliability of financial statements.</w:t>
      </w:r>
    </w:p>
    <w:p w:rsidR="00B3255F" w:rsidRPr="00277E7A" w:rsidRDefault="00B3255F" w:rsidP="00277E7A">
      <w:pPr>
        <w:pStyle w:val="NumList"/>
      </w:pPr>
    </w:p>
    <w:p w:rsidR="00A964C4" w:rsidRPr="00A964C4" w:rsidRDefault="00B3255F" w:rsidP="00A964C4">
      <w:pPr>
        <w:pStyle w:val="NumList"/>
        <w:rPr>
          <w:rFonts w:cs="Tahoma"/>
          <w:szCs w:val="20"/>
        </w:rPr>
      </w:pPr>
      <w:r w:rsidRPr="00A964C4">
        <w:t>2.</w:t>
      </w:r>
      <w:r w:rsidRPr="00A964C4">
        <w:tab/>
        <w:t>Generally accepted accounting principles are those principles that have substantial authoritative support.</w:t>
      </w:r>
      <w:r w:rsidR="00FE0D30" w:rsidRPr="00A964C4">
        <w:t xml:space="preserve"> </w:t>
      </w:r>
      <w:r w:rsidR="00A964C4" w:rsidRPr="00A964C4">
        <w:t xml:space="preserve">The </w:t>
      </w:r>
      <w:r w:rsidR="001C24DC" w:rsidRPr="00A964C4">
        <w:t>SEC has deemed the FASB</w:t>
      </w:r>
      <w:r w:rsidR="0077707C" w:rsidRPr="00A964C4">
        <w:t>’</w:t>
      </w:r>
      <w:r w:rsidR="001C24DC" w:rsidRPr="00A964C4">
        <w:t xml:space="preserve">s </w:t>
      </w:r>
      <w:r w:rsidR="008C041C" w:rsidRPr="00A964C4">
        <w:t xml:space="preserve">Accounting Standards </w:t>
      </w:r>
      <w:r w:rsidR="001C24DC" w:rsidRPr="00A964C4">
        <w:t>Codi</w:t>
      </w:r>
      <w:r w:rsidR="00B6384F" w:rsidRPr="00A964C4">
        <w:t>fication</w:t>
      </w:r>
      <w:r w:rsidR="001C24DC" w:rsidRPr="00A964C4">
        <w:t xml:space="preserve"> as GAAP for U.S</w:t>
      </w:r>
      <w:r w:rsidR="003858AC">
        <w:t>.</w:t>
      </w:r>
      <w:r w:rsidR="001C24DC" w:rsidRPr="00A964C4">
        <w:t xml:space="preserve"> companies. In addition, the SEC has deemed IFRS as generally accepted accounting principles for non-U.S. companies that are listed in the U</w:t>
      </w:r>
      <w:r w:rsidR="003858AC">
        <w:t xml:space="preserve">nited </w:t>
      </w:r>
      <w:r w:rsidR="001C24DC" w:rsidRPr="00A964C4">
        <w:t>S</w:t>
      </w:r>
      <w:r w:rsidR="003858AC">
        <w:t>tates.</w:t>
      </w:r>
      <w:r w:rsidR="00A964C4" w:rsidRPr="00A964C4">
        <w:t xml:space="preserve"> </w:t>
      </w:r>
      <w:r w:rsidR="00A964C4" w:rsidRPr="00A964C4">
        <w:rPr>
          <w:rFonts w:cs="Tahoma"/>
          <w:color w:val="000000"/>
          <w:szCs w:val="20"/>
        </w:rPr>
        <w:t xml:space="preserve">The FASB and the IASB follow extensive, due processes to deliberate and develop new accounting standards that, if adopted, become </w:t>
      </w:r>
      <w:r w:rsidR="00877D51">
        <w:rPr>
          <w:rFonts w:cs="Tahoma"/>
          <w:color w:val="000000"/>
          <w:szCs w:val="20"/>
        </w:rPr>
        <w:t>“</w:t>
      </w:r>
      <w:r w:rsidR="00A964C4" w:rsidRPr="00A964C4">
        <w:rPr>
          <w:rFonts w:cs="Tahoma"/>
          <w:color w:val="000000"/>
          <w:szCs w:val="20"/>
        </w:rPr>
        <w:t>generally accepted.</w:t>
      </w:r>
      <w:r w:rsidR="00877D51">
        <w:rPr>
          <w:rFonts w:cs="Tahoma"/>
          <w:color w:val="000000"/>
          <w:szCs w:val="20"/>
        </w:rPr>
        <w:t>”</w:t>
      </w:r>
    </w:p>
    <w:p w:rsidR="00B3255F" w:rsidRPr="00A964C4" w:rsidRDefault="00B3255F" w:rsidP="00A964C4">
      <w:pPr>
        <w:pStyle w:val="NumList"/>
      </w:pPr>
    </w:p>
    <w:p w:rsidR="00DB6794" w:rsidRPr="00762272" w:rsidRDefault="00DB6794" w:rsidP="00A85F85">
      <w:pPr>
        <w:pStyle w:val="CaseAnswerHead"/>
      </w:pPr>
      <w:r w:rsidRPr="00762272">
        <w:rPr>
          <w:u w:val="single"/>
        </w:rPr>
        <w:t>C1-</w:t>
      </w:r>
      <w:r w:rsidR="00C17AD6">
        <w:rPr>
          <w:u w:val="single"/>
        </w:rPr>
        <w:t>2</w:t>
      </w:r>
      <w:r w:rsidR="00464BED">
        <w:tab/>
      </w:r>
      <w:r w:rsidR="003E28E9">
        <w:t>[</w:t>
      </w:r>
      <w:r w:rsidRPr="00762272">
        <w:t xml:space="preserve">CMA </w:t>
      </w:r>
      <w:r w:rsidR="00147EA0">
        <w:t>A</w:t>
      </w:r>
      <w:r w:rsidRPr="00762272">
        <w:t>dapted</w:t>
      </w:r>
      <w:r w:rsidR="003E28E9">
        <w:t>]</w:t>
      </w:r>
    </w:p>
    <w:p w:rsidR="00DB6794" w:rsidRDefault="00DB6794" w:rsidP="00E230D4">
      <w:pPr>
        <w:pStyle w:val="text"/>
      </w:pPr>
    </w:p>
    <w:p w:rsidR="00DB6794" w:rsidRPr="003B0FED" w:rsidRDefault="00DB6794" w:rsidP="00FA34C3">
      <w:pPr>
        <w:pStyle w:val="text"/>
      </w:pPr>
      <w:r w:rsidRPr="003B0FED">
        <w:t xml:space="preserve">Financial accounting standards inspire or encourage political action and social involvement during the standard setting process because the effects </w:t>
      </w:r>
      <w:r w:rsidR="008B0DC3" w:rsidRPr="003B0FED">
        <w:t xml:space="preserve">and economic consequences </w:t>
      </w:r>
      <w:r w:rsidRPr="003B0FED">
        <w:t>of accounting standards are wide-ranging and impact many varying groups.</w:t>
      </w:r>
      <w:r w:rsidR="00FE0D30" w:rsidRPr="003B0FED">
        <w:t xml:space="preserve"> </w:t>
      </w:r>
      <w:r w:rsidRPr="003B0FED">
        <w:t>The setting of accounting standards is a social decision and the user groups play a significant role and have considerable influence.</w:t>
      </w:r>
    </w:p>
    <w:p w:rsidR="00DB6794" w:rsidRPr="003B0FED" w:rsidRDefault="00DB6794" w:rsidP="00FA34C3">
      <w:pPr>
        <w:pStyle w:val="text"/>
      </w:pPr>
    </w:p>
    <w:p w:rsidR="00E21869" w:rsidRDefault="00DB6794" w:rsidP="00E21869">
      <w:pPr>
        <w:pStyle w:val="text"/>
        <w:rPr>
          <w:b/>
          <w:u w:val="single"/>
        </w:rPr>
      </w:pPr>
      <w:r w:rsidRPr="003B0FED">
        <w:t xml:space="preserve">The economic consequences of financial accounting standards inspire </w:t>
      </w:r>
      <w:r w:rsidR="00006E13" w:rsidRPr="003B0FED">
        <w:t xml:space="preserve">companies, stakeholders, and </w:t>
      </w:r>
      <w:r w:rsidRPr="003B0FED">
        <w:t>special interest groups to become vocal and critical when standards are being formulated.</w:t>
      </w:r>
      <w:r w:rsidR="00FE0D30" w:rsidRPr="003B0FED">
        <w:t xml:space="preserve"> </w:t>
      </w:r>
      <w:r w:rsidRPr="003B0FED">
        <w:t xml:space="preserve">The reporting of financial information impacts </w:t>
      </w:r>
      <w:r w:rsidR="00006E13" w:rsidRPr="003B0FED">
        <w:t>companies</w:t>
      </w:r>
      <w:r w:rsidR="0077707C" w:rsidRPr="003B0FED">
        <w:t>’</w:t>
      </w:r>
      <w:r w:rsidR="00006E13" w:rsidRPr="003B0FED">
        <w:t xml:space="preserve"> </w:t>
      </w:r>
      <w:r w:rsidRPr="003B0FED">
        <w:t xml:space="preserve">financial statements and the wealth and decision-making of </w:t>
      </w:r>
      <w:r w:rsidR="00006E13" w:rsidRPr="003B0FED">
        <w:t xml:space="preserve">stakeholders </w:t>
      </w:r>
      <w:r w:rsidRPr="003B0FED">
        <w:t>in differing ways.</w:t>
      </w:r>
      <w:r w:rsidR="00FE0D30" w:rsidRPr="003B0FED">
        <w:t xml:space="preserve"> </w:t>
      </w:r>
      <w:r w:rsidR="00006E13" w:rsidRPr="003B0FED">
        <w:t>Companies and stakeholders</w:t>
      </w:r>
      <w:r w:rsidRPr="003B0FED">
        <w:t xml:space="preserve"> may want particular economic events accounted for in particular ways, and are willing to fight for what they want.</w:t>
      </w:r>
    </w:p>
    <w:p w:rsidR="0060228C" w:rsidRDefault="0060228C">
      <w:pPr>
        <w:widowControl/>
        <w:autoSpaceDE/>
        <w:autoSpaceDN/>
        <w:adjustRightInd/>
        <w:rPr>
          <w:rFonts w:cs="Arial"/>
          <w:szCs w:val="22"/>
        </w:rPr>
      </w:pPr>
      <w:r>
        <w:br w:type="page"/>
      </w:r>
    </w:p>
    <w:p w:rsidR="00F70B11" w:rsidRPr="00762272" w:rsidRDefault="00F70B11" w:rsidP="00F70B11">
      <w:pPr>
        <w:pStyle w:val="CaseAnswerHead"/>
      </w:pPr>
      <w:r w:rsidRPr="00762272">
        <w:rPr>
          <w:u w:val="single"/>
        </w:rPr>
        <w:lastRenderedPageBreak/>
        <w:t>C1-</w:t>
      </w:r>
      <w:r>
        <w:rPr>
          <w:u w:val="single"/>
        </w:rPr>
        <w:t>2</w:t>
      </w:r>
      <w:r>
        <w:tab/>
        <w:t>(concluded)</w:t>
      </w:r>
    </w:p>
    <w:p w:rsidR="00F70B11" w:rsidRDefault="00F70B11" w:rsidP="00F70B11">
      <w:pPr>
        <w:pStyle w:val="text"/>
      </w:pPr>
    </w:p>
    <w:p w:rsidR="00DB6794" w:rsidRPr="003B0FED" w:rsidRDefault="00DB6794" w:rsidP="00FA34C3">
      <w:pPr>
        <w:pStyle w:val="text"/>
      </w:pPr>
      <w:r w:rsidRPr="003B0FED">
        <w:t>The formulation of accounting standards has political roots in the Securities and Exchange Acts of 1933 and 1934.</w:t>
      </w:r>
      <w:r w:rsidR="00FE0D30" w:rsidRPr="003B0FED">
        <w:t xml:space="preserve"> </w:t>
      </w:r>
      <w:r w:rsidRPr="003B0FED">
        <w:t>Although the SEC was vested with complete authority to define and formulate accounting standards, it has, for the most part, delegated this authority to the private sector.</w:t>
      </w:r>
      <w:r w:rsidR="00FE0D30" w:rsidRPr="003B0FED">
        <w:t xml:space="preserve"> </w:t>
      </w:r>
      <w:r w:rsidRPr="003B0FED">
        <w:t xml:space="preserve">The SEC supports the FASB in this endeavor and encourages its </w:t>
      </w:r>
      <w:r w:rsidR="00877D51">
        <w:t>“</w:t>
      </w:r>
      <w:r w:rsidRPr="003B0FED">
        <w:t>due process</w:t>
      </w:r>
      <w:r w:rsidR="00877D51">
        <w:t>”</w:t>
      </w:r>
      <w:r w:rsidRPr="003B0FED">
        <w:t xml:space="preserve"> system of standard setting.</w:t>
      </w:r>
      <w:r w:rsidR="00FE0D30" w:rsidRPr="003B0FED">
        <w:t xml:space="preserve"> </w:t>
      </w:r>
      <w:r w:rsidRPr="003B0FED">
        <w:t xml:space="preserve">Financial accounting standards issued are considered to be </w:t>
      </w:r>
      <w:r w:rsidR="00877D51">
        <w:t>“</w:t>
      </w:r>
      <w:r w:rsidRPr="003B0FED">
        <w:t>generally accepted accounting principles</w:t>
      </w:r>
      <w:r w:rsidR="00877D51">
        <w:t>”</w:t>
      </w:r>
      <w:r w:rsidRPr="003B0FED">
        <w:t xml:space="preserve"> and, as such, they must be followed in the preparation of financial statements.</w:t>
      </w:r>
      <w:r w:rsidR="00FE0D30" w:rsidRPr="003B0FED">
        <w:t xml:space="preserve"> </w:t>
      </w:r>
      <w:r w:rsidRPr="003B0FED">
        <w:t xml:space="preserve">Therefore, the formulation of standards is of vital interest to </w:t>
      </w:r>
      <w:r w:rsidR="00006E13" w:rsidRPr="003B0FED">
        <w:t>companies</w:t>
      </w:r>
      <w:r w:rsidRPr="003B0FED">
        <w:t xml:space="preserve"> responsible for </w:t>
      </w:r>
      <w:r w:rsidR="00006E13" w:rsidRPr="003B0FED">
        <w:t xml:space="preserve">preparing </w:t>
      </w:r>
      <w:r w:rsidRPr="003B0FED">
        <w:t>the financial statements</w:t>
      </w:r>
      <w:r w:rsidR="00006E13" w:rsidRPr="003B0FED">
        <w:t>, stakeholders that use the statements, and auditors</w:t>
      </w:r>
      <w:r w:rsidRPr="003B0FED">
        <w:t>.</w:t>
      </w:r>
    </w:p>
    <w:p w:rsidR="005A5C95" w:rsidRPr="005A5C95" w:rsidRDefault="005A5C95" w:rsidP="00FA34C3">
      <w:pPr>
        <w:pStyle w:val="text"/>
      </w:pPr>
    </w:p>
    <w:p w:rsidR="00DB6794" w:rsidRPr="00762272" w:rsidRDefault="00855F42" w:rsidP="00A85F85">
      <w:pPr>
        <w:pStyle w:val="CaseAnswerHead"/>
      </w:pPr>
      <w:r w:rsidRPr="003B0FED">
        <w:rPr>
          <w:u w:val="single"/>
        </w:rPr>
        <w:t>C1-</w:t>
      </w:r>
      <w:r w:rsidR="00C17AD6">
        <w:rPr>
          <w:u w:val="single"/>
        </w:rPr>
        <w:t>3</w:t>
      </w:r>
    </w:p>
    <w:p w:rsidR="00DB6794" w:rsidRDefault="00DB6794" w:rsidP="00FA34C3">
      <w:pPr>
        <w:pStyle w:val="text"/>
      </w:pPr>
    </w:p>
    <w:p w:rsidR="00DB6794" w:rsidRDefault="00DB6794" w:rsidP="00FA34C3">
      <w:pPr>
        <w:pStyle w:val="text"/>
      </w:pPr>
      <w:r>
        <w:t>The Financial Accounting Foundation is the parent organization of the FASB.</w:t>
      </w:r>
      <w:r w:rsidR="00FE0D30">
        <w:t xml:space="preserve"> </w:t>
      </w:r>
      <w:r>
        <w:t>It is governed by a 14 to 18-member Board of Trustees appointed from the memberships of eight organizations (the AICPA, Financial Executives Institute, Institute of Management Accountants, CFA Institute, American Accounting Association, Securities Industry and Financial Markets Association, Government Finance Officers Association, and National Association of State Auditors, Comptrollers, and Treasurers</w:t>
      </w:r>
      <w:r w:rsidR="00887670">
        <w:t>)</w:t>
      </w:r>
      <w:r>
        <w:t xml:space="preserve"> interested in the formulation of accounting principles.</w:t>
      </w:r>
      <w:r w:rsidR="00FE0D30">
        <w:t xml:space="preserve"> </w:t>
      </w:r>
      <w:r>
        <w:t>The primary</w:t>
      </w:r>
      <w:r w:rsidR="00855F42">
        <w:t xml:space="preserve"> </w:t>
      </w:r>
      <w:r>
        <w:t>responsibilities of the Financial Accounting Foundation are to provide general oversight to its operations and appoint the members of the Financial Accounting Standards Advisory Council (FASAC) and the FASB.</w:t>
      </w:r>
      <w:r w:rsidR="00FE0D30">
        <w:t xml:space="preserve"> </w:t>
      </w:r>
      <w:r>
        <w:t>The FASAC consists of about 33 members; it is responsible for advising the FASB about major policy issues, the priority of topics, the selection of task forces, the suitability of tentative decisions, and other matters.</w:t>
      </w:r>
    </w:p>
    <w:p w:rsidR="00DB6794" w:rsidRDefault="00DB6794" w:rsidP="00FA34C3">
      <w:pPr>
        <w:pStyle w:val="text"/>
      </w:pPr>
    </w:p>
    <w:p w:rsidR="007C0F78" w:rsidRDefault="00DB6794" w:rsidP="00FA34C3">
      <w:pPr>
        <w:pStyle w:val="text"/>
      </w:pPr>
      <w:r>
        <w:t xml:space="preserve">There are </w:t>
      </w:r>
      <w:r w:rsidR="00855F42">
        <w:t>seven</w:t>
      </w:r>
      <w:r>
        <w:t xml:space="preserve"> members of the FASB.</w:t>
      </w:r>
      <w:r w:rsidR="00FE0D30">
        <w:t xml:space="preserve"> </w:t>
      </w:r>
      <w:r>
        <w:t>Appointees to the FASB are full-time, fully paid members with no other organizational ties and are selected to represent a wide cross-section of interests.</w:t>
      </w:r>
      <w:r w:rsidR="00FE0D30">
        <w:t xml:space="preserve"> </w:t>
      </w:r>
      <w:r>
        <w:t>Each Board member is required to have a knowledge of, and experience in, accounting, finance, investing, business, and accounting education and research; high intelligence, integrity, and discipline; and a concern for the public interest regarding investing, financial accounting, and financial reporting.</w:t>
      </w:r>
      <w:r w:rsidR="00FE0D30">
        <w:t xml:space="preserve"> </w:t>
      </w:r>
      <w:r>
        <w:t>The FASB is responsible for identifying financial accounting issues, conducting research to address these issues, and resolving them.</w:t>
      </w:r>
      <w:r w:rsidR="00FE0D30">
        <w:t xml:space="preserve"> </w:t>
      </w:r>
      <w:r>
        <w:t>The FASB is supported by a research and technical staff that performs numerous functions such as researching issues, communicating with constituents, and drafting preliminary findings.</w:t>
      </w:r>
      <w:r w:rsidR="00FE0D30">
        <w:t xml:space="preserve"> </w:t>
      </w:r>
      <w:r>
        <w:t>The administrative staff assists the FASB by handling library, publications, personnel, and other activities.</w:t>
      </w:r>
    </w:p>
    <w:p w:rsidR="00DB2E5D" w:rsidRDefault="00DB2E5D" w:rsidP="00DB2E5D">
      <w:pPr>
        <w:pStyle w:val="NumList"/>
      </w:pPr>
    </w:p>
    <w:p w:rsidR="00DB6794" w:rsidRDefault="00DB6794" w:rsidP="00FA34C3">
      <w:pPr>
        <w:pStyle w:val="text"/>
      </w:pPr>
      <w:r>
        <w:t>Operating Procedures</w:t>
      </w:r>
      <w:r w:rsidR="00A047B1">
        <w:t xml:space="preserve"> and Pronouncements</w:t>
      </w:r>
      <w:r w:rsidR="003E28E9">
        <w:t xml:space="preserve">. </w:t>
      </w:r>
      <w:r>
        <w:t>Before issuing an accounting standards update, the FASB generally completes a multistage process, although the sequence and numbers of steps may vary.</w:t>
      </w:r>
      <w:r w:rsidR="00FE0D30">
        <w:t xml:space="preserve"> </w:t>
      </w:r>
      <w:r>
        <w:t>Initially, a topic or project is identified and placed on the FASB</w:t>
      </w:r>
      <w:r w:rsidR="0077707C">
        <w:t>’</w:t>
      </w:r>
      <w:r>
        <w:t>s agenda.</w:t>
      </w:r>
      <w:r w:rsidR="00FE0D30">
        <w:t xml:space="preserve"> </w:t>
      </w:r>
      <w:r>
        <w:t>This topic may be the result of suggestions from the FASAC, the accounting profession, industry, or other interested parties.</w:t>
      </w:r>
      <w:r w:rsidR="00FE0D30">
        <w:t xml:space="preserve"> </w:t>
      </w:r>
      <w:r>
        <w:t>On major issues a Task Force may be appointed to advise and consult with the FASB</w:t>
      </w:r>
      <w:r w:rsidR="0077707C">
        <w:t>’</w:t>
      </w:r>
      <w:r>
        <w:t>s Research and Technical Staff on such matters as the scope of the project and the nature and extent of additional research.</w:t>
      </w:r>
      <w:r w:rsidR="00FE0D30">
        <w:t xml:space="preserve"> </w:t>
      </w:r>
      <w:r>
        <w:t>The Staff then conducts any research specifically related to the project.</w:t>
      </w:r>
    </w:p>
    <w:p w:rsidR="0060228C" w:rsidRDefault="0060228C">
      <w:pPr>
        <w:widowControl/>
        <w:autoSpaceDE/>
        <w:autoSpaceDN/>
        <w:adjustRightInd/>
        <w:rPr>
          <w:rFonts w:cs="Arial"/>
          <w:b/>
          <w:szCs w:val="22"/>
          <w:u w:val="single"/>
        </w:rPr>
      </w:pPr>
      <w:r>
        <w:rPr>
          <w:u w:val="single"/>
        </w:rPr>
        <w:br w:type="page"/>
      </w:r>
    </w:p>
    <w:p w:rsidR="0060228C" w:rsidRPr="00762272" w:rsidRDefault="0060228C" w:rsidP="0060228C">
      <w:pPr>
        <w:pStyle w:val="CaseAnswerHead"/>
      </w:pPr>
      <w:r w:rsidRPr="003B0FED">
        <w:rPr>
          <w:u w:val="single"/>
        </w:rPr>
        <w:lastRenderedPageBreak/>
        <w:t>C1-</w:t>
      </w:r>
      <w:r>
        <w:rPr>
          <w:u w:val="single"/>
        </w:rPr>
        <w:t>3</w:t>
      </w:r>
      <w:r w:rsidRPr="003E28E9">
        <w:tab/>
      </w:r>
      <w:r>
        <w:t>(concluded)</w:t>
      </w:r>
    </w:p>
    <w:p w:rsidR="0060228C" w:rsidRDefault="0060228C" w:rsidP="0060228C">
      <w:pPr>
        <w:pStyle w:val="NumList"/>
      </w:pPr>
    </w:p>
    <w:p w:rsidR="00DB6794" w:rsidRDefault="00DB6794" w:rsidP="00FA34C3">
      <w:pPr>
        <w:pStyle w:val="text"/>
      </w:pPr>
      <w:r>
        <w:t>A Preliminary Views document or Invitation to Comment, which outlines the research related to the issues, is then usually published and a public comment period is set.</w:t>
      </w:r>
      <w:r w:rsidR="00FE0D30">
        <w:t xml:space="preserve"> </w:t>
      </w:r>
      <w:r>
        <w:t>During this period, public hearings, similar to those conducted by Congress, may be held.</w:t>
      </w:r>
      <w:r w:rsidR="00FE0D30">
        <w:t xml:space="preserve"> </w:t>
      </w:r>
      <w:r>
        <w:t>The intent is to receive information from and views of interested individuals and organizations on the issues.</w:t>
      </w:r>
      <w:r w:rsidR="00FE0D30">
        <w:t xml:space="preserve"> </w:t>
      </w:r>
      <w:r>
        <w:t>Many parties submit written comments (</w:t>
      </w:r>
      <w:r w:rsidR="00877D51">
        <w:t>“</w:t>
      </w:r>
      <w:r>
        <w:t>position papers</w:t>
      </w:r>
      <w:r w:rsidR="00877D51">
        <w:t>”</w:t>
      </w:r>
      <w:r>
        <w:t>) or make oral presentations.</w:t>
      </w:r>
      <w:r w:rsidR="00FE0D30">
        <w:t xml:space="preserve"> </w:t>
      </w:r>
      <w:r>
        <w:t>These parties include representatives of CPA firms and interested corporations, security analysts, members of professional accounting associations, and academicians, to name a few.</w:t>
      </w:r>
      <w:r w:rsidR="00FE0D30">
        <w:t xml:space="preserve"> </w:t>
      </w:r>
      <w:r>
        <w:t>After deliberating on the views expressed and information collected, the FASB issues an Exposure Draft of the proposed Accounting Standards Update.</w:t>
      </w:r>
      <w:r w:rsidR="00FE0D30">
        <w:t xml:space="preserve"> </w:t>
      </w:r>
      <w:r>
        <w:t>Interested parties generally have 30</w:t>
      </w:r>
      <w:r w:rsidR="00B12812">
        <w:t>–</w:t>
      </w:r>
      <w:r>
        <w:t>90 days to provide written comments of reaction.</w:t>
      </w:r>
      <w:r w:rsidR="00FE0D30">
        <w:t xml:space="preserve"> </w:t>
      </w:r>
      <w:r>
        <w:t>On major issues, more public hearings may be held.</w:t>
      </w:r>
      <w:r w:rsidR="00FE0D30">
        <w:t xml:space="preserve"> </w:t>
      </w:r>
      <w:r>
        <w:t xml:space="preserve">Sometimes, a </w:t>
      </w:r>
      <w:r w:rsidR="00877D51">
        <w:t>“</w:t>
      </w:r>
      <w:r>
        <w:t>field test</w:t>
      </w:r>
      <w:r w:rsidR="00877D51">
        <w:t>”</w:t>
      </w:r>
      <w:r>
        <w:t xml:space="preserve"> of the proposed standard is conducted with selected companies to evaluate implementation issues.</w:t>
      </w:r>
      <w:r w:rsidR="00FE0D30">
        <w:t xml:space="preserve"> </w:t>
      </w:r>
      <w:r>
        <w:t>A modified draft is prepared, if necessary, and brought to the FASB for a final vote.</w:t>
      </w:r>
      <w:r w:rsidR="00FE0D30">
        <w:t xml:space="preserve"> </w:t>
      </w:r>
      <w:r>
        <w:t xml:space="preserve">After </w:t>
      </w:r>
      <w:r w:rsidR="00A047B1">
        <w:t>super-</w:t>
      </w:r>
      <w:r>
        <w:t xml:space="preserve">majority vote </w:t>
      </w:r>
      <w:r w:rsidR="00A047B1">
        <w:t>(at least five of seven votes in favor)</w:t>
      </w:r>
      <w:r>
        <w:t xml:space="preserve">is attained, the </w:t>
      </w:r>
      <w:r w:rsidRPr="00554D01">
        <w:rPr>
          <w:i/>
        </w:rPr>
        <w:t>FASB Accounting Standards Update</w:t>
      </w:r>
      <w:r>
        <w:t xml:space="preserve"> is issued.</w:t>
      </w:r>
    </w:p>
    <w:p w:rsidR="005A5C95" w:rsidRDefault="005A5C95" w:rsidP="00FA34C3">
      <w:pPr>
        <w:pStyle w:val="text"/>
      </w:pPr>
    </w:p>
    <w:p w:rsidR="00DB6794" w:rsidRPr="00762272" w:rsidRDefault="00DB6794" w:rsidP="00A85F85">
      <w:pPr>
        <w:pStyle w:val="CaseAnswerHead"/>
      </w:pPr>
      <w:r w:rsidRPr="00762272">
        <w:rPr>
          <w:u w:val="single"/>
        </w:rPr>
        <w:t>C1-</w:t>
      </w:r>
      <w:r w:rsidR="00C17AD6">
        <w:rPr>
          <w:u w:val="single"/>
        </w:rPr>
        <w:t>4</w:t>
      </w:r>
    </w:p>
    <w:p w:rsidR="003B0FED" w:rsidRDefault="003B0FED" w:rsidP="00E230D4">
      <w:pPr>
        <w:pStyle w:val="text"/>
      </w:pPr>
    </w:p>
    <w:p w:rsidR="00DB6794" w:rsidRDefault="00DB6794" w:rsidP="00E230D4">
      <w:pPr>
        <w:pStyle w:val="text"/>
      </w:pPr>
      <w:r>
        <w:t>The first five principles of the AICPA</w:t>
      </w:r>
      <w:r w:rsidR="0077707C">
        <w:t>’</w:t>
      </w:r>
      <w:r>
        <w:t xml:space="preserve">s </w:t>
      </w:r>
      <w:r w:rsidRPr="008054C8">
        <w:rPr>
          <w:i/>
        </w:rPr>
        <w:t>Code of Professional Conduct</w:t>
      </w:r>
      <w:r>
        <w:t xml:space="preserve"> are as follows:</w:t>
      </w:r>
    </w:p>
    <w:p w:rsidR="009F2A18" w:rsidRDefault="009F2A18" w:rsidP="00E230D4">
      <w:pPr>
        <w:pStyle w:val="text"/>
      </w:pPr>
    </w:p>
    <w:p w:rsidR="008D2323" w:rsidRDefault="00DB6794" w:rsidP="003B0FED">
      <w:pPr>
        <w:pStyle w:val="NumList"/>
      </w:pPr>
      <w:r>
        <w:t>1.</w:t>
      </w:r>
      <w:r>
        <w:tab/>
      </w:r>
      <w:r>
        <w:rPr>
          <w:u w:val="single"/>
        </w:rPr>
        <w:t>Responsibilities</w:t>
      </w:r>
      <w:r>
        <w:t>:</w:t>
      </w:r>
      <w:r w:rsidR="00FE0D30">
        <w:t xml:space="preserve"> </w:t>
      </w:r>
      <w:r>
        <w:t>In carrying out their responsibilities as professionals, members should exercise sensitive professional and moral judgments in all their activities.</w:t>
      </w:r>
      <w:r w:rsidR="00FE0D30">
        <w:t xml:space="preserve"> </w:t>
      </w:r>
      <w:r>
        <w:t>For example, when a member chooses a depreciation method, she must carefully analyze each alternative based upon well-defined criteria before making a final choice.</w:t>
      </w:r>
    </w:p>
    <w:p w:rsidR="00B00D3C" w:rsidRDefault="00B00D3C" w:rsidP="003B0FED">
      <w:pPr>
        <w:pStyle w:val="NumList"/>
      </w:pPr>
    </w:p>
    <w:p w:rsidR="00DB6794" w:rsidRDefault="00DB6794" w:rsidP="003B0FED">
      <w:pPr>
        <w:pStyle w:val="NumList"/>
      </w:pPr>
      <w:r>
        <w:t>2.</w:t>
      </w:r>
      <w:r>
        <w:tab/>
      </w:r>
      <w:r>
        <w:rPr>
          <w:u w:val="single"/>
        </w:rPr>
        <w:t>The Public Interest</w:t>
      </w:r>
      <w:r>
        <w:t>:</w:t>
      </w:r>
      <w:r w:rsidR="00FE0D30">
        <w:t xml:space="preserve"> </w:t>
      </w:r>
      <w:r>
        <w:t>Members should act in a way that will serve the public interest, honor the public trust, and demonstrate a commitment to professionalism.</w:t>
      </w:r>
      <w:r w:rsidR="00FE0D30">
        <w:t xml:space="preserve"> </w:t>
      </w:r>
      <w:r>
        <w:t>When a member refuses to ignore internal control deficiencies in a company with publicly traded stock, but instead enumerates these deficiencies in the Auditor</w:t>
      </w:r>
      <w:r w:rsidR="0077707C">
        <w:t>’</w:t>
      </w:r>
      <w:r>
        <w:t>s report, she is adhering to the public interest principle.</w:t>
      </w:r>
    </w:p>
    <w:p w:rsidR="00285F32" w:rsidRDefault="00285F32" w:rsidP="003B0FED">
      <w:pPr>
        <w:pStyle w:val="NumList"/>
      </w:pPr>
    </w:p>
    <w:p w:rsidR="00DB6794" w:rsidRDefault="00DB6794" w:rsidP="003B0FED">
      <w:pPr>
        <w:pStyle w:val="NumList"/>
      </w:pPr>
      <w:r>
        <w:t>3.</w:t>
      </w:r>
      <w:r>
        <w:tab/>
      </w:r>
      <w:r>
        <w:rPr>
          <w:u w:val="single"/>
        </w:rPr>
        <w:t>Integrity</w:t>
      </w:r>
      <w:r>
        <w:t>:</w:t>
      </w:r>
      <w:r w:rsidR="00FE0D30">
        <w:t xml:space="preserve"> </w:t>
      </w:r>
      <w:r>
        <w:t>To maintain and broaden public confidence, members should perform all professional responsibilities with the highest sense of integrity.</w:t>
      </w:r>
      <w:r w:rsidR="00FE0D30">
        <w:t xml:space="preserve"> </w:t>
      </w:r>
      <w:r>
        <w:t>For example, a member who carefully and conscientiously performs each step of an audit without skipping those steps that are tedious or of less interest is exercising the integrity principle.</w:t>
      </w:r>
    </w:p>
    <w:p w:rsidR="00285F32" w:rsidRDefault="00285F32" w:rsidP="003B0FED">
      <w:pPr>
        <w:pStyle w:val="NumList"/>
      </w:pPr>
    </w:p>
    <w:p w:rsidR="001F22EC" w:rsidRDefault="00DB6794" w:rsidP="008777E2">
      <w:pPr>
        <w:pStyle w:val="NumList"/>
      </w:pPr>
      <w:r>
        <w:t>4.</w:t>
      </w:r>
      <w:r>
        <w:tab/>
      </w:r>
      <w:r w:rsidRPr="002F1AD8">
        <w:rPr>
          <w:u w:val="single"/>
        </w:rPr>
        <w:t>Objectivity and Independence</w:t>
      </w:r>
      <w:r>
        <w:t>:</w:t>
      </w:r>
      <w:r w:rsidR="00FE0D30">
        <w:t xml:space="preserve"> </w:t>
      </w:r>
      <w:r>
        <w:t>A member should be objective and be free from conflicts of interest in discharging professional responsibilities.</w:t>
      </w:r>
      <w:r w:rsidR="00FE0D30">
        <w:t xml:space="preserve"> </w:t>
      </w:r>
      <w:r>
        <w:t>A member in public practice should be independent in fact and appearance when providing auditing and other attestation services.</w:t>
      </w:r>
      <w:r w:rsidR="00FE0D30">
        <w:t xml:space="preserve"> </w:t>
      </w:r>
      <w:r>
        <w:t>For example, a member who declines to audit the financial statements of the company for which his father is a marketing vice president is adhering to this principle.</w:t>
      </w:r>
    </w:p>
    <w:p w:rsidR="001F22EC" w:rsidRDefault="001F22EC" w:rsidP="008777E2">
      <w:pPr>
        <w:pStyle w:val="NumList"/>
      </w:pPr>
    </w:p>
    <w:p w:rsidR="00DB6794" w:rsidRDefault="00DB6794" w:rsidP="003B0FED">
      <w:pPr>
        <w:pStyle w:val="NumList"/>
      </w:pPr>
      <w:r>
        <w:t>5.</w:t>
      </w:r>
      <w:r>
        <w:tab/>
      </w:r>
      <w:r>
        <w:rPr>
          <w:u w:val="single"/>
        </w:rPr>
        <w:t>Due Care</w:t>
      </w:r>
      <w:r>
        <w:t>:</w:t>
      </w:r>
      <w:r w:rsidR="00FE0D30">
        <w:t xml:space="preserve"> </w:t>
      </w:r>
      <w:r>
        <w:t>A member should observe the profession</w:t>
      </w:r>
      <w:r w:rsidR="0077707C">
        <w:t>’</w:t>
      </w:r>
      <w:r>
        <w:t>s technical and ethical standards, strive continually to improve competence and the quality of standards, strive continually to improve competence and the quality of services, and discharge professional responsibility to the best of the member</w:t>
      </w:r>
      <w:r w:rsidR="0077707C">
        <w:t>’</w:t>
      </w:r>
      <w:r>
        <w:t>s ability.</w:t>
      </w:r>
      <w:r w:rsidR="00FE0D30">
        <w:t xml:space="preserve"> </w:t>
      </w:r>
      <w:r>
        <w:t>When a member reads current accounting literature and strives to employ current principles and procedures, she is exercising due care.</w:t>
      </w:r>
    </w:p>
    <w:p w:rsidR="0060228C" w:rsidRDefault="0060228C">
      <w:pPr>
        <w:widowControl/>
        <w:autoSpaceDE/>
        <w:autoSpaceDN/>
        <w:adjustRightInd/>
        <w:rPr>
          <w:rFonts w:cs="Arial"/>
          <w:b/>
          <w:szCs w:val="22"/>
          <w:u w:val="single"/>
        </w:rPr>
      </w:pPr>
      <w:r>
        <w:rPr>
          <w:u w:val="single"/>
        </w:rPr>
        <w:br w:type="page"/>
      </w:r>
    </w:p>
    <w:p w:rsidR="00B3255F" w:rsidRDefault="00B3255F" w:rsidP="00A85F85">
      <w:pPr>
        <w:pStyle w:val="CaseAnswerHead"/>
      </w:pPr>
      <w:r w:rsidRPr="00762272">
        <w:rPr>
          <w:u w:val="single"/>
        </w:rPr>
        <w:lastRenderedPageBreak/>
        <w:t>C1-</w:t>
      </w:r>
      <w:r w:rsidR="00C17AD6">
        <w:rPr>
          <w:u w:val="single"/>
        </w:rPr>
        <w:t>5</w:t>
      </w:r>
    </w:p>
    <w:p w:rsidR="007E1C70" w:rsidRPr="00762272" w:rsidRDefault="007E1C70" w:rsidP="00E230D4">
      <w:pPr>
        <w:pStyle w:val="text"/>
        <w:rPr>
          <w:rFonts w:cs="Times"/>
          <w:b/>
        </w:rPr>
      </w:pPr>
    </w:p>
    <w:p w:rsidR="00B3255F" w:rsidRDefault="00B3255F" w:rsidP="00E230D4">
      <w:pPr>
        <w:pStyle w:val="text"/>
      </w:pPr>
      <w:r>
        <w:t>On balance, most people would agree that it is a good idea for the FASB to allow written comments and oral presentations in which interested parties can lobby for a particular ruling.</w:t>
      </w:r>
      <w:r w:rsidR="00FE0D30">
        <w:t xml:space="preserve"> </w:t>
      </w:r>
      <w:r>
        <w:t>However, there are both pros and cons to allowing interested parties to provide input to its deliberation process.</w:t>
      </w:r>
      <w:r w:rsidR="00FE0D30">
        <w:t xml:space="preserve"> </w:t>
      </w:r>
      <w:r>
        <w:t>They include:</w:t>
      </w:r>
    </w:p>
    <w:p w:rsidR="00B3255F" w:rsidRDefault="00B3255F" w:rsidP="00E230D4">
      <w:pPr>
        <w:pStyle w:val="text"/>
      </w:pPr>
    </w:p>
    <w:p w:rsidR="00B3255F" w:rsidRDefault="00B3255F" w:rsidP="00E230D4">
      <w:pPr>
        <w:pStyle w:val="text"/>
      </w:pPr>
      <w:r>
        <w:rPr>
          <w:u w:val="single"/>
        </w:rPr>
        <w:t>Advantages</w:t>
      </w:r>
    </w:p>
    <w:p w:rsidR="00B3255F" w:rsidRDefault="00B3255F" w:rsidP="00543F15">
      <w:pPr>
        <w:pStyle w:val="textbulletedlist"/>
      </w:pPr>
      <w:r>
        <w:t>Enables FASB to get input from different perspectives</w:t>
      </w:r>
    </w:p>
    <w:p w:rsidR="00B3255F" w:rsidRDefault="00B3255F" w:rsidP="00543F15">
      <w:pPr>
        <w:pStyle w:val="textbulletedlist"/>
      </w:pPr>
      <w:r>
        <w:t>Provides users a forum to express concerns</w:t>
      </w:r>
    </w:p>
    <w:p w:rsidR="00B3255F" w:rsidRDefault="00B3255F" w:rsidP="00543F15">
      <w:pPr>
        <w:pStyle w:val="textbulletedlist"/>
      </w:pPr>
      <w:r>
        <w:t>Provides preparers a forum to express concerns</w:t>
      </w:r>
    </w:p>
    <w:p w:rsidR="00B3255F" w:rsidRDefault="00B3255F" w:rsidP="00543F15">
      <w:pPr>
        <w:pStyle w:val="textbulletedlist"/>
      </w:pPr>
      <w:r>
        <w:t>Provides auditors a forum to express concerns</w:t>
      </w:r>
    </w:p>
    <w:p w:rsidR="00B3255F" w:rsidRDefault="00B3255F" w:rsidP="00543F15">
      <w:pPr>
        <w:pStyle w:val="textbulletedlist"/>
      </w:pPr>
      <w:r>
        <w:t>Overcomes criticism of failing to listen to constituencies</w:t>
      </w:r>
    </w:p>
    <w:p w:rsidR="00B3255F" w:rsidRDefault="00B3255F" w:rsidP="00543F15">
      <w:pPr>
        <w:pStyle w:val="textbulletedlist"/>
      </w:pPr>
      <w:r>
        <w:t>Allows for consideration of views of all interested parties</w:t>
      </w:r>
    </w:p>
    <w:p w:rsidR="00B3255F" w:rsidRDefault="00B3255F" w:rsidP="00543F15">
      <w:pPr>
        <w:pStyle w:val="textbulletedlist"/>
      </w:pPr>
      <w:r>
        <w:t>Rulings appear more fair to all constituencies</w:t>
      </w:r>
    </w:p>
    <w:p w:rsidR="00467B60" w:rsidRPr="00467B60" w:rsidRDefault="00B3255F" w:rsidP="00467B60">
      <w:pPr>
        <w:pStyle w:val="textbulletedlist"/>
        <w:widowControl/>
        <w:autoSpaceDE/>
        <w:autoSpaceDN/>
        <w:adjustRightInd/>
        <w:rPr>
          <w:b/>
          <w:u w:val="single"/>
        </w:rPr>
      </w:pPr>
      <w:r>
        <w:t>Rulings consider the costs and benefits of implementation</w:t>
      </w:r>
    </w:p>
    <w:p w:rsidR="00B3255F" w:rsidRDefault="00B3255F" w:rsidP="00543F15">
      <w:pPr>
        <w:pStyle w:val="textbulletedlist"/>
      </w:pPr>
      <w:r>
        <w:t>Standards are established that are the most acceptable</w:t>
      </w:r>
    </w:p>
    <w:p w:rsidR="00B3255F" w:rsidRDefault="00B3255F" w:rsidP="00543F15">
      <w:pPr>
        <w:pStyle w:val="textbulletedlist"/>
      </w:pPr>
      <w:r>
        <w:t>Allows for clarification of rules</w:t>
      </w:r>
    </w:p>
    <w:p w:rsidR="00B3255F" w:rsidRDefault="00B3255F" w:rsidP="00543F15">
      <w:pPr>
        <w:pStyle w:val="textbulletedlist"/>
      </w:pPr>
      <w:r>
        <w:t>Allows for corrections of any errors</w:t>
      </w:r>
    </w:p>
    <w:p w:rsidR="00B3255F" w:rsidRDefault="00B3255F" w:rsidP="00543F15">
      <w:pPr>
        <w:pStyle w:val="textbulletedlist"/>
      </w:pPr>
      <w:r>
        <w:t>Allows for consideration of implementation issues</w:t>
      </w:r>
    </w:p>
    <w:p w:rsidR="00B3255F" w:rsidRDefault="00B3255F" w:rsidP="00E230D4">
      <w:pPr>
        <w:pStyle w:val="text"/>
      </w:pPr>
    </w:p>
    <w:p w:rsidR="00B3255F" w:rsidRDefault="00B3255F" w:rsidP="00E230D4">
      <w:pPr>
        <w:pStyle w:val="text"/>
      </w:pPr>
      <w:r>
        <w:rPr>
          <w:u w:val="single"/>
        </w:rPr>
        <w:t>Disadvantages</w:t>
      </w:r>
    </w:p>
    <w:p w:rsidR="00B3255F" w:rsidRDefault="00B3255F" w:rsidP="00543F15">
      <w:pPr>
        <w:pStyle w:val="textbulletedlist"/>
      </w:pPr>
      <w:r>
        <w:t>Rulings sometimes appear to be biased in favor of certain user group</w:t>
      </w:r>
      <w:r w:rsidR="00FD7555">
        <w:t>s</w:t>
      </w:r>
    </w:p>
    <w:p w:rsidR="00B3255F" w:rsidRDefault="00B3255F" w:rsidP="00543F15">
      <w:pPr>
        <w:pStyle w:val="textbulletedlist"/>
      </w:pPr>
      <w:r>
        <w:t>Rulings sometimes are inconsistent with other Statements of Standards</w:t>
      </w:r>
    </w:p>
    <w:p w:rsidR="00B3255F" w:rsidRDefault="00B3255F" w:rsidP="00543F15">
      <w:pPr>
        <w:pStyle w:val="textbulletedlist"/>
      </w:pPr>
      <w:r>
        <w:t>Rulings sometimes are inconsistent with Statements of Concepts</w:t>
      </w:r>
    </w:p>
    <w:p w:rsidR="00B3255F" w:rsidRDefault="00B3255F" w:rsidP="00543F15">
      <w:pPr>
        <w:pStyle w:val="textbulletedlist"/>
      </w:pPr>
      <w:r>
        <w:t>Rulings sometimes appear illogical</w:t>
      </w:r>
    </w:p>
    <w:p w:rsidR="00B3255F" w:rsidRDefault="00B3255F" w:rsidP="00543F15">
      <w:pPr>
        <w:pStyle w:val="textbulletedlist"/>
      </w:pPr>
      <w:r>
        <w:t>FASB is too slow in establishing standards</w:t>
      </w:r>
    </w:p>
    <w:p w:rsidR="00B3255F" w:rsidRDefault="00B3255F" w:rsidP="00543F15">
      <w:pPr>
        <w:pStyle w:val="textbulletedlist"/>
      </w:pPr>
      <w:r>
        <w:t>Standards are too complex and difficult to implement</w:t>
      </w:r>
    </w:p>
    <w:p w:rsidR="00B3255F" w:rsidRDefault="00B3255F" w:rsidP="00E230D4">
      <w:pPr>
        <w:pStyle w:val="text"/>
      </w:pPr>
    </w:p>
    <w:p w:rsidR="00B3255F" w:rsidRDefault="00B3255F" w:rsidP="00A85F85">
      <w:pPr>
        <w:pStyle w:val="CaseAnswerHead"/>
      </w:pPr>
      <w:r w:rsidRPr="00762272">
        <w:rPr>
          <w:u w:val="single"/>
        </w:rPr>
        <w:t>C1-</w:t>
      </w:r>
      <w:r w:rsidR="00C17AD6">
        <w:rPr>
          <w:u w:val="single"/>
        </w:rPr>
        <w:t>6</w:t>
      </w:r>
    </w:p>
    <w:p w:rsidR="00A1025E" w:rsidRPr="00762272" w:rsidRDefault="00A1025E" w:rsidP="00E230D4">
      <w:pPr>
        <w:pStyle w:val="text"/>
        <w:rPr>
          <w:rFonts w:cs="Times"/>
          <w:b/>
        </w:rPr>
      </w:pPr>
    </w:p>
    <w:p w:rsidR="00B3255F" w:rsidRPr="008C51B0" w:rsidRDefault="00B3255F" w:rsidP="00E230D4">
      <w:pPr>
        <w:pStyle w:val="text"/>
      </w:pPr>
      <w:r w:rsidRPr="008C51B0">
        <w:t>Currently, U.S. corporations are subject to the accounting standards (called U.S. GAAP) established by the FASB, while foreign corporations are subject to international standards called IFRS (international financial reporting standards) established by the International Accounting Standards Board (IASB) or by their national accounting standards boards. These differences in accounting standards have led to differences among U.S. and foreign corporations</w:t>
      </w:r>
      <w:r w:rsidR="0077707C">
        <w:t>’</w:t>
      </w:r>
      <w:r w:rsidRPr="008C51B0">
        <w:t xml:space="preserve"> financial statements. These differences, in turn, have made it difficult for investors and creditors to make valid comparisons across corporations and to make effective buy-sell-hold decisions in the U.S. and foreign capital markets.</w:t>
      </w:r>
    </w:p>
    <w:p w:rsidR="0060228C" w:rsidRDefault="0060228C">
      <w:pPr>
        <w:widowControl/>
        <w:autoSpaceDE/>
        <w:autoSpaceDN/>
        <w:adjustRightInd/>
        <w:rPr>
          <w:rFonts w:cs="Arial"/>
          <w:szCs w:val="22"/>
        </w:rPr>
      </w:pPr>
      <w:r>
        <w:br w:type="page"/>
      </w:r>
    </w:p>
    <w:p w:rsidR="0060228C" w:rsidRPr="00762272" w:rsidRDefault="0060228C" w:rsidP="0060228C">
      <w:pPr>
        <w:pStyle w:val="CaseAnswerHead"/>
      </w:pPr>
      <w:r w:rsidRPr="003B0FED">
        <w:rPr>
          <w:u w:val="single"/>
        </w:rPr>
        <w:lastRenderedPageBreak/>
        <w:t>C1-</w:t>
      </w:r>
      <w:r>
        <w:rPr>
          <w:u w:val="single"/>
        </w:rPr>
        <w:t>6</w:t>
      </w:r>
      <w:r w:rsidRPr="003E28E9">
        <w:tab/>
      </w:r>
      <w:r>
        <w:t>(concluded)</w:t>
      </w:r>
    </w:p>
    <w:p w:rsidR="0060228C" w:rsidRDefault="0060228C" w:rsidP="00E230D4">
      <w:pPr>
        <w:pStyle w:val="text"/>
      </w:pPr>
    </w:p>
    <w:p w:rsidR="00B3255F" w:rsidRDefault="00B3255F" w:rsidP="00E230D4">
      <w:pPr>
        <w:pStyle w:val="text"/>
      </w:pPr>
      <w:r w:rsidRPr="008C51B0">
        <w:t xml:space="preserve">To overcome this problem, </w:t>
      </w:r>
      <w:r>
        <w:t>t</w:t>
      </w:r>
      <w:r w:rsidRPr="00E61798">
        <w:t xml:space="preserve">he FASB and the IASB have been working together toward convergence since the </w:t>
      </w:r>
      <w:r w:rsidR="00877D51">
        <w:t>“</w:t>
      </w:r>
      <w:r w:rsidRPr="00E61798">
        <w:t>Norwalk Agreement</w:t>
      </w:r>
      <w:r w:rsidR="00877D51">
        <w:t>”</w:t>
      </w:r>
      <w:r w:rsidRPr="00E61798">
        <w:t xml:space="preserve"> in 2002. At that time the two Boards entered into this agreement to work together on the development of high-quality, compatible accounting standards that could be used for both </w:t>
      </w:r>
      <w:r w:rsidR="00877D51">
        <w:t>“</w:t>
      </w:r>
      <w:r w:rsidRPr="00E61798">
        <w:t>domestic</w:t>
      </w:r>
      <w:r w:rsidR="00877D51">
        <w:t>”</w:t>
      </w:r>
      <w:r w:rsidRPr="00E61798">
        <w:t xml:space="preserve"> and </w:t>
      </w:r>
      <w:r w:rsidR="00877D51">
        <w:t>“</w:t>
      </w:r>
      <w:r w:rsidRPr="00E61798">
        <w:t>cross-border</w:t>
      </w:r>
      <w:r w:rsidR="00877D51">
        <w:t>”</w:t>
      </w:r>
      <w:r w:rsidRPr="00E61798">
        <w:t xml:space="preserve"> financial reporting. </w:t>
      </w:r>
      <w:r w:rsidRPr="008C51B0">
        <w:t xml:space="preserve">To achieve this compatibility, the Boards agreed to work together to achieve </w:t>
      </w:r>
      <w:r w:rsidR="00877D51">
        <w:t>“</w:t>
      </w:r>
      <w:r w:rsidRPr="008C51B0">
        <w:t>short-term</w:t>
      </w:r>
      <w:r w:rsidR="00877D51">
        <w:t>”</w:t>
      </w:r>
      <w:r w:rsidRPr="008C51B0">
        <w:t xml:space="preserve"> convergence on a number of individual differences between U.S. and international accounting standards. They also agreed to coordinate their future agendas on substantial long-term projects which both Boards would address concurrently. Finally, they agreed to continue working on joint projects they were currently undertaking. This overall collaboration is sometimes referred to as the </w:t>
      </w:r>
      <w:r w:rsidRPr="00554D01">
        <w:rPr>
          <w:i/>
        </w:rPr>
        <w:t>convergence</w:t>
      </w:r>
      <w:r w:rsidRPr="008C51B0">
        <w:t xml:space="preserve"> or </w:t>
      </w:r>
      <w:r w:rsidRPr="00554D01">
        <w:rPr>
          <w:i/>
        </w:rPr>
        <w:t>harmonization</w:t>
      </w:r>
      <w:r w:rsidRPr="008C51B0">
        <w:t xml:space="preserve"> of accounting standards.</w:t>
      </w:r>
    </w:p>
    <w:p w:rsidR="0060228C" w:rsidRPr="008C51B0" w:rsidRDefault="0060228C" w:rsidP="00E230D4">
      <w:pPr>
        <w:pStyle w:val="text"/>
      </w:pPr>
    </w:p>
    <w:p w:rsidR="00B3255F" w:rsidRPr="00E61798" w:rsidRDefault="00B3255F" w:rsidP="00E230D4">
      <w:pPr>
        <w:pStyle w:val="text"/>
      </w:pPr>
      <w:r w:rsidRPr="00E61798">
        <w:t>More recently, the two Boards entered into a Memorandum of Understanding (MoU), originally issued in 2006 and updated in 2008.</w:t>
      </w:r>
      <w:r w:rsidRPr="00E61798">
        <w:rPr>
          <w:vertAlign w:val="superscript"/>
        </w:rPr>
        <w:t xml:space="preserve"> </w:t>
      </w:r>
      <w:r w:rsidRPr="00E61798">
        <w:t>The two Boards collaborate through joint projects to develop common standards.</w:t>
      </w:r>
      <w:r w:rsidR="00FE0D30">
        <w:t xml:space="preserve"> </w:t>
      </w:r>
      <w:r w:rsidRPr="00E61798">
        <w:t>Reaffirming their commitment to convergence, the Boards in 2009 and 2010 have identified a number of major projects they are undertaking jointly, as well as short-term projects (in which convergence can occur fairly quickly).</w:t>
      </w:r>
      <w:r w:rsidR="00FE0D30">
        <w:t xml:space="preserve"> </w:t>
      </w:r>
      <w:r w:rsidRPr="00E61798">
        <w:t>The major long-term convergence projects of the FASB and IASB will address convergence of accounting standards for:</w:t>
      </w:r>
    </w:p>
    <w:p w:rsidR="00D533D8" w:rsidRDefault="00D533D8" w:rsidP="00D533D8">
      <w:pPr>
        <w:pStyle w:val="textbulletedlist"/>
      </w:pPr>
      <w:r>
        <w:t>Consolidated financial statements</w:t>
      </w:r>
    </w:p>
    <w:p w:rsidR="00D533D8" w:rsidRDefault="00D533D8" w:rsidP="00D533D8">
      <w:pPr>
        <w:pStyle w:val="textbulletedlist"/>
      </w:pPr>
      <w:r>
        <w:t>Fair value measurement</w:t>
      </w:r>
    </w:p>
    <w:p w:rsidR="00B3255F" w:rsidRPr="00E61798" w:rsidRDefault="00B3255F" w:rsidP="00D533D8">
      <w:pPr>
        <w:pStyle w:val="textbulletedlist"/>
      </w:pPr>
      <w:r w:rsidRPr="00E61798">
        <w:t xml:space="preserve">Financial statement presentation </w:t>
      </w:r>
    </w:p>
    <w:p w:rsidR="00B3255F" w:rsidRPr="00E61798" w:rsidRDefault="00B3255F" w:rsidP="00D533D8">
      <w:pPr>
        <w:pStyle w:val="textbulletedlist"/>
      </w:pPr>
      <w:r w:rsidRPr="00E61798">
        <w:t>Leases</w:t>
      </w:r>
    </w:p>
    <w:p w:rsidR="00D533D8" w:rsidRDefault="00D533D8" w:rsidP="00D533D8">
      <w:pPr>
        <w:pStyle w:val="textbulletedlist"/>
      </w:pPr>
      <w:r>
        <w:t>Financial instruments</w:t>
      </w:r>
    </w:p>
    <w:p w:rsidR="00B3255F" w:rsidRPr="00E61798" w:rsidRDefault="00B3255F" w:rsidP="00D533D8">
      <w:pPr>
        <w:pStyle w:val="textbulletedlist"/>
      </w:pPr>
      <w:r w:rsidRPr="00E61798">
        <w:t>Revenue recognition</w:t>
      </w:r>
    </w:p>
    <w:p w:rsidR="0060228C" w:rsidRDefault="0060228C" w:rsidP="00E230D4">
      <w:pPr>
        <w:pStyle w:val="text"/>
      </w:pPr>
    </w:p>
    <w:p w:rsidR="004A3168" w:rsidRDefault="004A3168" w:rsidP="00E230D4">
      <w:pPr>
        <w:pStyle w:val="text"/>
      </w:pPr>
      <w:r w:rsidRPr="004A3168">
        <w:t>To achieve convergence, the Boards are working closely together to prioritize the major projects on their agendas, the work plan to address those projects, and target milestones dates for completing major projects. The two Boards now meet jointly for consecutive days every month, either in person or by video-conferencing, and schedule special joint meetings of both Boards to address important issues. Both Boards also provide quarterly progress reports which can be downloaded from their web sites.</w:t>
      </w:r>
    </w:p>
    <w:p w:rsidR="004A3168" w:rsidRPr="00DB2E5D" w:rsidRDefault="004A3168" w:rsidP="00DB2E5D">
      <w:pPr>
        <w:pStyle w:val="text"/>
        <w:rPr>
          <w:rFonts w:cs="Times"/>
        </w:rPr>
      </w:pPr>
    </w:p>
    <w:p w:rsidR="00B3255F" w:rsidRPr="008C51B0" w:rsidRDefault="00B3255F" w:rsidP="00E230D4">
      <w:pPr>
        <w:pStyle w:val="text"/>
      </w:pPr>
      <w:r w:rsidRPr="008C51B0">
        <w:t xml:space="preserve">The SEC has </w:t>
      </w:r>
      <w:r>
        <w:t>moved forward</w:t>
      </w:r>
      <w:r w:rsidRPr="008C51B0">
        <w:t xml:space="preserve"> on two fronts: (1) changing its filing regulations for foreign companies, and (2) considering changing its filing requirements for U.S. companies.</w:t>
      </w:r>
    </w:p>
    <w:p w:rsidR="00B3255F" w:rsidRPr="00DB2E5D" w:rsidRDefault="00B3255F" w:rsidP="00DB2E5D">
      <w:pPr>
        <w:pStyle w:val="text"/>
        <w:rPr>
          <w:rFonts w:cs="Times"/>
        </w:rPr>
      </w:pPr>
    </w:p>
    <w:p w:rsidR="00B3255F" w:rsidRPr="008C51B0" w:rsidRDefault="00B3255F" w:rsidP="00E230D4">
      <w:pPr>
        <w:pStyle w:val="text"/>
      </w:pPr>
      <w:r w:rsidRPr="008C51B0">
        <w:t xml:space="preserve">In the past, a foreign company filing its financial statements with the SEC that used accounting standards other than U.S. GAAP had to file a form which </w:t>
      </w:r>
      <w:r w:rsidR="00877D51">
        <w:t>“</w:t>
      </w:r>
      <w:r w:rsidRPr="008C51B0">
        <w:t>reconciled</w:t>
      </w:r>
      <w:r w:rsidR="00877D51">
        <w:t>”</w:t>
      </w:r>
      <w:r w:rsidRPr="008C51B0">
        <w:t xml:space="preserve"> certain amounts reported in its financial statements with the amounts that would have been reported using U.S. GAAP. However, in late 2007 the SEC rescinded this rule for foreign companies that use English-language IFRS (with no exceptions) to prepare their financial statements. These companies no longer have to file a reconciliation.</w:t>
      </w:r>
    </w:p>
    <w:p w:rsidR="0060228C" w:rsidRDefault="0060228C">
      <w:pPr>
        <w:widowControl/>
        <w:autoSpaceDE/>
        <w:autoSpaceDN/>
        <w:adjustRightInd/>
        <w:rPr>
          <w:rFonts w:cs="Arial"/>
          <w:b/>
          <w:szCs w:val="22"/>
          <w:u w:val="single"/>
        </w:rPr>
      </w:pPr>
      <w:r>
        <w:rPr>
          <w:u w:val="single"/>
        </w:rPr>
        <w:br w:type="page"/>
      </w:r>
    </w:p>
    <w:p w:rsidR="0060228C" w:rsidRDefault="0060228C" w:rsidP="0060228C">
      <w:pPr>
        <w:pStyle w:val="CaseAnswerHead"/>
      </w:pPr>
      <w:r w:rsidRPr="00762272">
        <w:rPr>
          <w:u w:val="single"/>
        </w:rPr>
        <w:lastRenderedPageBreak/>
        <w:t>C1-</w:t>
      </w:r>
      <w:r>
        <w:rPr>
          <w:u w:val="single"/>
        </w:rPr>
        <w:t>6</w:t>
      </w:r>
      <w:r>
        <w:tab/>
        <w:t>(continued)</w:t>
      </w:r>
    </w:p>
    <w:p w:rsidR="00E21869" w:rsidRPr="00DB2E5D" w:rsidRDefault="00E21869" w:rsidP="00E21869">
      <w:pPr>
        <w:pStyle w:val="text"/>
        <w:rPr>
          <w:rFonts w:cs="Times"/>
        </w:rPr>
      </w:pPr>
    </w:p>
    <w:p w:rsidR="004A3168" w:rsidRPr="004A3168" w:rsidRDefault="004A3168" w:rsidP="00E230D4">
      <w:pPr>
        <w:pStyle w:val="text"/>
      </w:pPr>
      <w:r w:rsidRPr="004A3168">
        <w:t>In 2010, the SEC issued its Work Plan to determine by the end of 2011 whether the SEC will allow U.S. firms to file financial statements based on IFRS rather than U.S. GAAP. The Work Plan will address the following critical elements:</w:t>
      </w:r>
    </w:p>
    <w:p w:rsidR="004A3168" w:rsidRPr="004A3168" w:rsidRDefault="004A3168" w:rsidP="00A1025E">
      <w:pPr>
        <w:pStyle w:val="textbulletedlist"/>
      </w:pPr>
      <w:r w:rsidRPr="004A3168">
        <w:t>sufficient development and application of IFRS for the U.S. domestic reporting system</w:t>
      </w:r>
    </w:p>
    <w:p w:rsidR="004A3168" w:rsidRPr="004A3168" w:rsidRDefault="004A3168" w:rsidP="00A1025E">
      <w:pPr>
        <w:pStyle w:val="textbulletedlist"/>
      </w:pPr>
      <w:r w:rsidRPr="004A3168">
        <w:t>independence of standard setting for the benefit of investors</w:t>
      </w:r>
    </w:p>
    <w:p w:rsidR="004A3168" w:rsidRPr="004A3168" w:rsidRDefault="004A3168" w:rsidP="00A1025E">
      <w:pPr>
        <w:pStyle w:val="textbulletedlist"/>
      </w:pPr>
      <w:r w:rsidRPr="004A3168">
        <w:t>investor understanding and education regarding IFRS</w:t>
      </w:r>
    </w:p>
    <w:p w:rsidR="004A3168" w:rsidRPr="004A3168" w:rsidRDefault="004A3168" w:rsidP="00A1025E">
      <w:pPr>
        <w:pStyle w:val="textbulletedlist"/>
      </w:pPr>
      <w:r w:rsidRPr="004A3168">
        <w:t>examination of the U.S. regulatory environment that would be affected by a change in accounting standards</w:t>
      </w:r>
    </w:p>
    <w:p w:rsidR="004A3168" w:rsidRPr="004A3168" w:rsidRDefault="004A3168" w:rsidP="00A1025E">
      <w:pPr>
        <w:pStyle w:val="textbulletedlist"/>
      </w:pPr>
      <w:r w:rsidRPr="004A3168">
        <w:t>impact on companies, large and small, including changes to accounting systems, changes to contractual arrangements, corporate governance considerations, and litigation contingencies</w:t>
      </w:r>
    </w:p>
    <w:p w:rsidR="004A3168" w:rsidRPr="004A3168" w:rsidRDefault="004A3168" w:rsidP="00A1025E">
      <w:pPr>
        <w:pStyle w:val="textbulletedlist"/>
      </w:pPr>
      <w:r w:rsidRPr="004A3168">
        <w:t>human capital readiness</w:t>
      </w:r>
    </w:p>
    <w:p w:rsidR="00DB2E5D" w:rsidRDefault="00DB2E5D" w:rsidP="00E230D4">
      <w:pPr>
        <w:pStyle w:val="text"/>
      </w:pPr>
    </w:p>
    <w:p w:rsidR="004A3168" w:rsidRDefault="004A3168" w:rsidP="00E230D4">
      <w:pPr>
        <w:pStyle w:val="text"/>
      </w:pPr>
      <w:r w:rsidRPr="004A3168">
        <w:t>If the results of the Work Plan indicate that the SEC is willing to accept IFRS-based filings from U.S. companies, the transition would likely begin in 2015 or 2016 at the earliest and would start with the largest publicly</w:t>
      </w:r>
      <w:r w:rsidR="00196EA9">
        <w:t xml:space="preserve"> </w:t>
      </w:r>
      <w:r w:rsidRPr="004A3168">
        <w:t xml:space="preserve">held firms. </w:t>
      </w:r>
      <w:r w:rsidR="006530DB">
        <w:t>U</w:t>
      </w:r>
      <w:r w:rsidR="006530DB" w:rsidRPr="008C51B0">
        <w:t>.S. companies, their auditors, educators, accounting students, analysts, actuaries, valuation experts, and investors and creditors in the U.S. capital markets are among the groups that would be affected. In the transition period, U.S. companies will continue to use U.S. GAAP.</w:t>
      </w:r>
    </w:p>
    <w:p w:rsidR="004A3168" w:rsidRPr="004A3168" w:rsidRDefault="004A3168" w:rsidP="00DB2E5D">
      <w:pPr>
        <w:pStyle w:val="text"/>
      </w:pPr>
    </w:p>
    <w:p w:rsidR="00B3255F" w:rsidRPr="008C51B0" w:rsidRDefault="00B3255F" w:rsidP="00E230D4">
      <w:pPr>
        <w:pStyle w:val="text"/>
      </w:pPr>
      <w:r w:rsidRPr="008C51B0">
        <w:t>The movement by more foreign companies to using IFRS has created two potential problems for U.S. companies using U.S. GAAP (</w:t>
      </w:r>
      <w:r w:rsidR="00877D51">
        <w:t>“</w:t>
      </w:r>
      <w:r w:rsidRPr="008C51B0">
        <w:t>regulated companies</w:t>
      </w:r>
      <w:r w:rsidR="00877D51">
        <w:t>”</w:t>
      </w:r>
      <w:r w:rsidRPr="008C51B0">
        <w:t>) and that operate globally. First, their financial statements are likely to be different from</w:t>
      </w:r>
      <w:r>
        <w:t xml:space="preserve"> those of</w:t>
      </w:r>
      <w:r w:rsidRPr="008C51B0">
        <w:t xml:space="preserve"> the foreign companies with which they are competing for capital, creating difficulties for investors in comparing companies. Second, if they have subsidiaries operating in foreign countries, they may be required to prepare their subsidiaries</w:t>
      </w:r>
      <w:r w:rsidR="0077707C">
        <w:t>’</w:t>
      </w:r>
      <w:r w:rsidRPr="008C51B0">
        <w:t xml:space="preserve"> financial statements according to IFRS for local filings. Since they still have to prepare their financial statements using U.S. GAAP to file with the SEC, this creates potential costly inefficiencies. As a result, the SEC has begun a study of whether it should require or allow U.S. companies to use IFRS in their financial statements filed with the SEC. There are many issues related to this possible change and they are very complex a</w:t>
      </w:r>
      <w:r w:rsidR="005437B6">
        <w:t>nd far reaching. These include:</w:t>
      </w:r>
    </w:p>
    <w:p w:rsidR="00B3255F" w:rsidRPr="008C51B0" w:rsidRDefault="00B3255F" w:rsidP="00E230D4">
      <w:pPr>
        <w:pStyle w:val="text"/>
      </w:pPr>
    </w:p>
    <w:p w:rsidR="00B3255F" w:rsidRDefault="00A1025E" w:rsidP="00A1025E">
      <w:pPr>
        <w:pStyle w:val="NumList"/>
      </w:pPr>
      <w:r>
        <w:t>(1)</w:t>
      </w:r>
      <w:r>
        <w:tab/>
      </w:r>
      <w:r w:rsidR="00B3255F" w:rsidRPr="008C51B0">
        <w:t>Many U.S. companies (particularly smaller ones) filing with the SEC do not operate globally so they would not see any advantage to using IFRS. If IFRS were required, it would likely be very costly for them to switch from U.S. GAAP to IFRS, thereby affecting their profitability during the conversion period.</w:t>
      </w:r>
    </w:p>
    <w:p w:rsidR="00B3255F" w:rsidRPr="008C51B0" w:rsidRDefault="00B3255F" w:rsidP="00A1025E">
      <w:pPr>
        <w:pStyle w:val="NumList"/>
      </w:pPr>
    </w:p>
    <w:p w:rsidR="00B3255F" w:rsidRPr="008C51B0" w:rsidRDefault="00A1025E" w:rsidP="00A1025E">
      <w:pPr>
        <w:pStyle w:val="NumList"/>
      </w:pPr>
      <w:r>
        <w:t>(2)</w:t>
      </w:r>
      <w:r>
        <w:tab/>
      </w:r>
      <w:r w:rsidR="004A3168">
        <w:t>The vast majority</w:t>
      </w:r>
      <w:r w:rsidR="00B3255F" w:rsidRPr="008C51B0">
        <w:t xml:space="preserve"> of U.S. corporations do not issue publicly traded securities and therefore are not regulated by the SEC. These corporations use U.S. GAAP in preparing their financial statements. A switch to IFRS for regulated U.S. companies would create a </w:t>
      </w:r>
      <w:r w:rsidR="00877D51">
        <w:t>“</w:t>
      </w:r>
      <w:r w:rsidR="00B3255F" w:rsidRPr="008C51B0">
        <w:t>dual-GAAP</w:t>
      </w:r>
      <w:r w:rsidR="00877D51">
        <w:t>”</w:t>
      </w:r>
      <w:r w:rsidR="00B3255F" w:rsidRPr="008C51B0">
        <w:t xml:space="preserve"> system in the U.S.</w:t>
      </w:r>
    </w:p>
    <w:p w:rsidR="00B3255F" w:rsidRPr="008C51B0" w:rsidRDefault="00B3255F" w:rsidP="00A1025E">
      <w:pPr>
        <w:pStyle w:val="NumList"/>
      </w:pPr>
    </w:p>
    <w:p w:rsidR="00B3255F" w:rsidRPr="008C51B0" w:rsidRDefault="00A1025E" w:rsidP="00A1025E">
      <w:pPr>
        <w:pStyle w:val="NumList"/>
      </w:pPr>
      <w:r>
        <w:t>(3)</w:t>
      </w:r>
      <w:r>
        <w:tab/>
      </w:r>
      <w:r w:rsidR="00B3255F" w:rsidRPr="008C51B0">
        <w:t>Investors, creditors, financial analysts, and other external users would have to retrain to be able to evaluate the financial statements of companies using IFRS. Also, those external users who have more resources to learn about analyses under IFRS may be at a competitive advantage.</w:t>
      </w:r>
    </w:p>
    <w:p w:rsidR="0060228C" w:rsidRDefault="0060228C">
      <w:pPr>
        <w:widowControl/>
        <w:autoSpaceDE/>
        <w:autoSpaceDN/>
        <w:adjustRightInd/>
        <w:rPr>
          <w:rFonts w:cs="Arial"/>
          <w:b/>
          <w:szCs w:val="22"/>
          <w:u w:val="single"/>
        </w:rPr>
      </w:pPr>
      <w:r>
        <w:rPr>
          <w:u w:val="single"/>
        </w:rPr>
        <w:br w:type="page"/>
      </w:r>
    </w:p>
    <w:p w:rsidR="0060228C" w:rsidRDefault="0060228C" w:rsidP="0060228C">
      <w:pPr>
        <w:pStyle w:val="CaseAnswerHead"/>
      </w:pPr>
      <w:r w:rsidRPr="00762272">
        <w:rPr>
          <w:u w:val="single"/>
        </w:rPr>
        <w:lastRenderedPageBreak/>
        <w:t>C1-</w:t>
      </w:r>
      <w:r>
        <w:rPr>
          <w:u w:val="single"/>
        </w:rPr>
        <w:t>6</w:t>
      </w:r>
      <w:r>
        <w:tab/>
        <w:t>(concluded)</w:t>
      </w:r>
    </w:p>
    <w:p w:rsidR="00E21869" w:rsidRDefault="00E21869">
      <w:pPr>
        <w:widowControl/>
        <w:autoSpaceDE/>
        <w:autoSpaceDN/>
        <w:adjustRightInd/>
        <w:rPr>
          <w:rFonts w:cs="Arial"/>
          <w:b/>
          <w:szCs w:val="22"/>
          <w:u w:val="single"/>
        </w:rPr>
      </w:pPr>
    </w:p>
    <w:p w:rsidR="00B3255F" w:rsidRPr="008C51B0" w:rsidRDefault="00A1025E" w:rsidP="00A1025E">
      <w:pPr>
        <w:pStyle w:val="NumList"/>
      </w:pPr>
      <w:r>
        <w:t>(4)</w:t>
      </w:r>
      <w:r>
        <w:tab/>
      </w:r>
      <w:r w:rsidR="00B3255F" w:rsidRPr="008C51B0">
        <w:t>Accountants and auditors would have to be trained and/or retrained to understand the impact of IFRS on the preparation of financial statements and the related audits of companies using IFRS. Larger auditing firms with more resources for training may be at a competitive advantage over smaller auditing firms.</w:t>
      </w:r>
    </w:p>
    <w:p w:rsidR="00B3255F" w:rsidRPr="008C51B0" w:rsidRDefault="00B3255F" w:rsidP="00A1025E">
      <w:pPr>
        <w:pStyle w:val="NumList"/>
      </w:pPr>
    </w:p>
    <w:p w:rsidR="00B3255F" w:rsidRPr="008C51B0" w:rsidRDefault="00A1025E" w:rsidP="00A1025E">
      <w:pPr>
        <w:pStyle w:val="NumList"/>
      </w:pPr>
      <w:r>
        <w:t>(5)</w:t>
      </w:r>
      <w:r>
        <w:tab/>
      </w:r>
      <w:r w:rsidR="00B3255F" w:rsidRPr="008C51B0">
        <w:t xml:space="preserve">Many companies </w:t>
      </w:r>
      <w:r w:rsidR="004B1BBC">
        <w:t>that</w:t>
      </w:r>
      <w:r w:rsidR="00B3255F" w:rsidRPr="008C51B0">
        <w:t xml:space="preserve"> have borrowed money have </w:t>
      </w:r>
      <w:r w:rsidR="00877D51">
        <w:t>“</w:t>
      </w:r>
      <w:r w:rsidR="00B3255F" w:rsidRPr="008C51B0">
        <w:t>debt covenants</w:t>
      </w:r>
      <w:r w:rsidR="00877D51">
        <w:t>”</w:t>
      </w:r>
      <w:r w:rsidR="00B3255F" w:rsidRPr="008C51B0">
        <w:t xml:space="preserve"> based on U.S. GAAP that restrict their financing activities. Modifications in existing IFRS may have to be made to maintain (or modify) these debt covenants.</w:t>
      </w:r>
    </w:p>
    <w:p w:rsidR="00B3255F" w:rsidRPr="008C51B0" w:rsidRDefault="00B3255F" w:rsidP="00A1025E">
      <w:pPr>
        <w:pStyle w:val="NumList"/>
      </w:pPr>
    </w:p>
    <w:p w:rsidR="00B3255F" w:rsidRPr="008C51B0" w:rsidRDefault="00A1025E" w:rsidP="00A1025E">
      <w:pPr>
        <w:pStyle w:val="NumList"/>
      </w:pPr>
      <w:r>
        <w:t>(6)</w:t>
      </w:r>
      <w:r>
        <w:tab/>
      </w:r>
      <w:r w:rsidR="00B3255F" w:rsidRPr="008C51B0">
        <w:t>Some accounting issues (e.g., related to extractive industries) are not covered by IFRS. New high-quality IFRS would have to be established to address these issues.</w:t>
      </w:r>
    </w:p>
    <w:p w:rsidR="00B3255F" w:rsidRDefault="00B3255F" w:rsidP="00E230D4">
      <w:pPr>
        <w:pStyle w:val="text"/>
        <w:rPr>
          <w:rFonts w:cs="Times"/>
          <w:b/>
          <w:u w:val="single"/>
        </w:rPr>
      </w:pPr>
    </w:p>
    <w:p w:rsidR="00762272" w:rsidRDefault="00762272" w:rsidP="00A85F85">
      <w:pPr>
        <w:pStyle w:val="CaseAnswerHead"/>
      </w:pPr>
      <w:r w:rsidRPr="00762272">
        <w:rPr>
          <w:u w:val="single"/>
        </w:rPr>
        <w:t>C1-</w:t>
      </w:r>
      <w:r w:rsidR="00C17AD6">
        <w:rPr>
          <w:u w:val="single"/>
        </w:rPr>
        <w:t>7</w:t>
      </w:r>
    </w:p>
    <w:p w:rsidR="00EA01E2" w:rsidRPr="00762272" w:rsidRDefault="00EA01E2" w:rsidP="00E230D4">
      <w:pPr>
        <w:pStyle w:val="text"/>
        <w:rPr>
          <w:rFonts w:cs="Times"/>
          <w:b/>
        </w:rPr>
      </w:pPr>
    </w:p>
    <w:p w:rsidR="00762272" w:rsidRDefault="00922F29" w:rsidP="00E230D4">
      <w:pPr>
        <w:pStyle w:val="text"/>
      </w:pPr>
      <w:r w:rsidRPr="004B1BBC">
        <w:rPr>
          <w:u w:val="single"/>
        </w:rPr>
        <w:t>Note to Instructor:</w:t>
      </w:r>
      <w:r>
        <w:t xml:space="preserve"> This is an open-ended case question intended to get students reading and thinking about interesting information in each of the financial statements.</w:t>
      </w:r>
      <w:r w:rsidR="00FE0D30">
        <w:t xml:space="preserve"> </w:t>
      </w:r>
      <w:r>
        <w:t>Because of its open-ended nature, we take an open-minded approach to the answers students might offer. We are willing to accept any reasonable answers regarding what students consider to be interesting information, so long as the information is drawn from the appropriate statement and is explained in an appropriate manner.</w:t>
      </w:r>
      <w:r w:rsidR="00FE0D30">
        <w:t xml:space="preserve"> </w:t>
      </w:r>
      <w:r>
        <w:t>Some simple exam</w:t>
      </w:r>
      <w:r w:rsidR="00EA01E2">
        <w:t>ples for each statement follow.</w:t>
      </w:r>
    </w:p>
    <w:p w:rsidR="003E280E" w:rsidRDefault="003E280E">
      <w:pPr>
        <w:widowControl/>
        <w:autoSpaceDE/>
        <w:autoSpaceDN/>
        <w:adjustRightInd/>
        <w:rPr>
          <w:rFonts w:ascii="Arial" w:hAnsi="Arial" w:cs="Arial"/>
          <w:szCs w:val="22"/>
        </w:rPr>
      </w:pPr>
    </w:p>
    <w:p w:rsidR="00922F29" w:rsidRDefault="00922F29" w:rsidP="00E230D4">
      <w:pPr>
        <w:pStyle w:val="text"/>
      </w:pPr>
      <w:r>
        <w:t>Balance Sheet:</w:t>
      </w:r>
    </w:p>
    <w:p w:rsidR="00342172" w:rsidRPr="004B1BBC" w:rsidRDefault="00342172" w:rsidP="004B1BBC">
      <w:pPr>
        <w:pStyle w:val="textbulletedlist"/>
      </w:pPr>
      <w:r w:rsidRPr="004B1BBC">
        <w:t>Enormous holdings of cash</w:t>
      </w:r>
      <w:r w:rsidR="004B1BBC" w:rsidRPr="004B1BBC">
        <w:rPr>
          <w:szCs w:val="20"/>
        </w:rPr>
        <w:t xml:space="preserve"> and cash equivalents,</w:t>
      </w:r>
      <w:r w:rsidRPr="004B1BBC">
        <w:t xml:space="preserve"> $1,164.0 million</w:t>
      </w:r>
      <w:r w:rsidR="007C4102">
        <w:t>.</w:t>
      </w:r>
    </w:p>
    <w:p w:rsidR="00342172" w:rsidRDefault="00342172" w:rsidP="00EA01E2">
      <w:pPr>
        <w:pStyle w:val="textbulletedlist"/>
      </w:pPr>
      <w:r>
        <w:t>Drop in inventory from $664.9 million to $543.3 million</w:t>
      </w:r>
      <w:r w:rsidR="007C4102">
        <w:t>.</w:t>
      </w:r>
    </w:p>
    <w:p w:rsidR="00342172" w:rsidRDefault="00342172" w:rsidP="00EA01E2">
      <w:pPr>
        <w:pStyle w:val="textbulletedlist"/>
      </w:pPr>
      <w:r>
        <w:t>Drop in property, plant, and equipment, from $2,536.4 million to $2,416.5 million</w:t>
      </w:r>
      <w:r w:rsidR="007C4102">
        <w:t>.</w:t>
      </w:r>
    </w:p>
    <w:p w:rsidR="00342172" w:rsidRDefault="00342172" w:rsidP="00EA01E2">
      <w:pPr>
        <w:pStyle w:val="textbulletedlist"/>
      </w:pPr>
      <w:r>
        <w:t>Relatively little debt financing</w:t>
      </w:r>
      <w:r w:rsidR="004B1BBC">
        <w:t>—</w:t>
      </w:r>
      <w:r>
        <w:t>only $</w:t>
      </w:r>
      <w:r w:rsidR="00D37365">
        <w:t>5</w:t>
      </w:r>
      <w:r>
        <w:t>49.4 million of long</w:t>
      </w:r>
      <w:r w:rsidR="004B1BBC">
        <w:t>-</w:t>
      </w:r>
      <w:r>
        <w:t>term, debt, less than 9 percent of assets.</w:t>
      </w:r>
    </w:p>
    <w:p w:rsidR="00342172" w:rsidRDefault="00342172" w:rsidP="00EA01E2">
      <w:pPr>
        <w:pStyle w:val="textbulletedlist"/>
      </w:pPr>
      <w:r>
        <w:t>Total equity comprises about 60</w:t>
      </w:r>
      <w:r w:rsidR="004B1BBC">
        <w:t>%</w:t>
      </w:r>
      <w:r>
        <w:t xml:space="preserve"> of the liabilitie</w:t>
      </w:r>
      <w:r w:rsidR="007C4102">
        <w:t>s and equity, $3,682.3 million.</w:t>
      </w:r>
    </w:p>
    <w:p w:rsidR="00342172" w:rsidRDefault="00342172" w:rsidP="00EA01E2">
      <w:pPr>
        <w:pStyle w:val="textbulletedlist"/>
      </w:pPr>
      <w:r>
        <w:t>The majority of equity</w:t>
      </w:r>
      <w:r w:rsidR="007C4102">
        <w:t xml:space="preserve"> arises from retained earnings.</w:t>
      </w:r>
    </w:p>
    <w:p w:rsidR="0060228C" w:rsidRDefault="0060228C" w:rsidP="00E230D4">
      <w:pPr>
        <w:pStyle w:val="text"/>
      </w:pPr>
    </w:p>
    <w:p w:rsidR="00342172" w:rsidRDefault="00342172" w:rsidP="00E230D4">
      <w:pPr>
        <w:pStyle w:val="text"/>
      </w:pPr>
      <w:r>
        <w:t>Income Statement:</w:t>
      </w:r>
    </w:p>
    <w:p w:rsidR="00342172" w:rsidRDefault="00342172" w:rsidP="00EA01E2">
      <w:pPr>
        <w:pStyle w:val="textbulletedlist"/>
      </w:pPr>
      <w:r>
        <w:t>Revenues of $10,707.4 million, most of which come from company operated retail stores, amounting to $8,963.5 million</w:t>
      </w:r>
      <w:r w:rsidR="007C4102">
        <w:t>.</w:t>
      </w:r>
    </w:p>
    <w:p w:rsidR="00342172" w:rsidRDefault="00342172" w:rsidP="00EA01E2">
      <w:pPr>
        <w:pStyle w:val="textbulletedlist"/>
      </w:pPr>
      <w:r>
        <w:t>Big jump in revenues</w:t>
      </w:r>
      <w:r w:rsidR="00E61793">
        <w:t>—</w:t>
      </w:r>
      <w:r>
        <w:t xml:space="preserve">from $9,774.6 million in 2009 to $10,707.4 </w:t>
      </w:r>
      <w:r w:rsidR="00147384">
        <w:t xml:space="preserve">million </w:t>
      </w:r>
      <w:r>
        <w:t>in 2010</w:t>
      </w:r>
      <w:r w:rsidR="007C4102">
        <w:t>.</w:t>
      </w:r>
    </w:p>
    <w:p w:rsidR="00342172" w:rsidRDefault="00342172" w:rsidP="00EA01E2">
      <w:pPr>
        <w:pStyle w:val="textbulletedlist"/>
      </w:pPr>
      <w:r>
        <w:t>Despite the big jump in revenues, most of the operating expenses experienced modest increases, and restructuring charges were reduced significantly</w:t>
      </w:r>
      <w:r w:rsidR="007C4102">
        <w:t>.</w:t>
      </w:r>
    </w:p>
    <w:p w:rsidR="00342172" w:rsidRDefault="00342172" w:rsidP="00EA01E2">
      <w:pPr>
        <w:pStyle w:val="textbulletedlist"/>
      </w:pPr>
      <w:r>
        <w:t>Record high earnings: $945.6 million, up considerably from 2</w:t>
      </w:r>
      <w:r w:rsidR="00196EA9">
        <w:t>009 earnings of $390.8 million.</w:t>
      </w:r>
    </w:p>
    <w:p w:rsidR="0060228C" w:rsidRDefault="0060228C">
      <w:pPr>
        <w:widowControl/>
        <w:autoSpaceDE/>
        <w:autoSpaceDN/>
        <w:adjustRightInd/>
        <w:rPr>
          <w:rFonts w:cs="Arial"/>
          <w:b/>
          <w:szCs w:val="22"/>
          <w:u w:val="single"/>
        </w:rPr>
      </w:pPr>
      <w:r>
        <w:rPr>
          <w:u w:val="single"/>
        </w:rPr>
        <w:br w:type="page"/>
      </w:r>
    </w:p>
    <w:p w:rsidR="0060228C" w:rsidRDefault="0060228C" w:rsidP="0060228C">
      <w:pPr>
        <w:pStyle w:val="CaseAnswerHead"/>
      </w:pPr>
      <w:r w:rsidRPr="00762272">
        <w:rPr>
          <w:u w:val="single"/>
        </w:rPr>
        <w:lastRenderedPageBreak/>
        <w:t>C1-</w:t>
      </w:r>
      <w:r>
        <w:rPr>
          <w:u w:val="single"/>
        </w:rPr>
        <w:t>7</w:t>
      </w:r>
      <w:r w:rsidRPr="00EA01E2">
        <w:tab/>
      </w:r>
      <w:r>
        <w:t>(concluded)</w:t>
      </w:r>
    </w:p>
    <w:p w:rsidR="0060228C" w:rsidRPr="00762272" w:rsidRDefault="0060228C" w:rsidP="0060228C">
      <w:pPr>
        <w:pStyle w:val="text"/>
        <w:rPr>
          <w:rFonts w:cs="Times"/>
          <w:b/>
        </w:rPr>
      </w:pPr>
    </w:p>
    <w:p w:rsidR="00E22AD5" w:rsidRDefault="00E22AD5" w:rsidP="00E230D4">
      <w:pPr>
        <w:pStyle w:val="text"/>
      </w:pPr>
      <w:r>
        <w:t>Statement of Cash Flows:</w:t>
      </w:r>
    </w:p>
    <w:p w:rsidR="00E22AD5" w:rsidRDefault="00E22AD5" w:rsidP="00EA01E2">
      <w:pPr>
        <w:pStyle w:val="textbulletedlist"/>
      </w:pPr>
      <w:r>
        <w:t>Operating cash flows are very healthy: $1,70</w:t>
      </w:r>
      <w:r w:rsidR="003902DC">
        <w:t>4</w:t>
      </w:r>
      <w:r>
        <w:t>.</w:t>
      </w:r>
      <w:r w:rsidR="003902DC">
        <w:t>9</w:t>
      </w:r>
      <w:r>
        <w:t xml:space="preserve"> million, most of which come</w:t>
      </w:r>
      <w:r w:rsidR="003902DC">
        <w:t>s</w:t>
      </w:r>
      <w:r>
        <w:t xml:space="preserve"> from </w:t>
      </w:r>
      <w:r w:rsidR="003902DC">
        <w:t>earnings plus the depreciation and amortization addback.</w:t>
      </w:r>
    </w:p>
    <w:p w:rsidR="003902DC" w:rsidRDefault="003902DC" w:rsidP="00EA01E2">
      <w:pPr>
        <w:pStyle w:val="textbulletedlist"/>
      </w:pPr>
      <w:r>
        <w:t xml:space="preserve">Investing cash flows: </w:t>
      </w:r>
      <w:r w:rsidR="000908EB">
        <w:t>(</w:t>
      </w:r>
      <w:r>
        <w:t>$789.5 million</w:t>
      </w:r>
      <w:r w:rsidR="000908EB">
        <w:t>)</w:t>
      </w:r>
      <w:r>
        <w:t>, primarily for additions to property, plant</w:t>
      </w:r>
      <w:r w:rsidR="000908EB">
        <w:t>,</w:t>
      </w:r>
      <w:r>
        <w:t xml:space="preserve"> and equipment and (net) purchases of investment securities.</w:t>
      </w:r>
    </w:p>
    <w:p w:rsidR="003902DC" w:rsidRDefault="003902DC" w:rsidP="00EA01E2">
      <w:pPr>
        <w:pStyle w:val="textbulletedlist"/>
      </w:pPr>
      <w:r>
        <w:t xml:space="preserve">Financing cash flows: </w:t>
      </w:r>
      <w:r w:rsidR="000908EB">
        <w:t>(</w:t>
      </w:r>
      <w:r>
        <w:t>$346.0 million</w:t>
      </w:r>
      <w:r w:rsidR="000908EB">
        <w:t>)</w:t>
      </w:r>
      <w:r>
        <w:t>, primarily for dividends a</w:t>
      </w:r>
      <w:r w:rsidR="00CA0C59">
        <w:t>nd repurchases of common stock.</w:t>
      </w:r>
    </w:p>
    <w:p w:rsidR="003902DC" w:rsidRDefault="003902DC" w:rsidP="00EA01E2">
      <w:pPr>
        <w:pStyle w:val="textbulletedlist"/>
      </w:pPr>
      <w:r>
        <w:t>Cash balance doubled in 2010, from $599.8 million to $1,164.0 million.</w:t>
      </w:r>
    </w:p>
    <w:p w:rsidR="00DB2E5D" w:rsidRDefault="00DB2E5D">
      <w:pPr>
        <w:widowControl/>
        <w:autoSpaceDE/>
        <w:autoSpaceDN/>
        <w:adjustRightInd/>
        <w:rPr>
          <w:rFonts w:cs="Arial"/>
          <w:szCs w:val="22"/>
        </w:rPr>
      </w:pPr>
    </w:p>
    <w:p w:rsidR="003902DC" w:rsidRDefault="003902DC" w:rsidP="00E230D4">
      <w:pPr>
        <w:pStyle w:val="text"/>
      </w:pPr>
      <w:r>
        <w:t>Statement of Shareholders</w:t>
      </w:r>
      <w:r w:rsidR="0077707C">
        <w:t>’</w:t>
      </w:r>
      <w:r>
        <w:t xml:space="preserve"> Equity:</w:t>
      </w:r>
    </w:p>
    <w:p w:rsidR="003902DC" w:rsidRDefault="003902DC" w:rsidP="00EA01E2">
      <w:pPr>
        <w:pStyle w:val="textbulletedlist"/>
      </w:pPr>
      <w:r>
        <w:t>Interesting pieces of information about equity from the balance sheet can be applied to this part of the case</w:t>
      </w:r>
      <w:r w:rsidR="000908EB">
        <w:t>,</w:t>
      </w:r>
      <w:r>
        <w:t xml:space="preserve"> too.</w:t>
      </w:r>
    </w:p>
    <w:p w:rsidR="003902DC" w:rsidRDefault="003902DC" w:rsidP="00EA01E2">
      <w:pPr>
        <w:pStyle w:val="textbulletedlist"/>
      </w:pPr>
      <w:r>
        <w:t>Comprehensive income was $937.4 million, as compared to net income of $945.6 million.</w:t>
      </w:r>
    </w:p>
    <w:p w:rsidR="00762272" w:rsidRDefault="003902DC" w:rsidP="00EA01E2">
      <w:pPr>
        <w:pStyle w:val="textbulletedlist"/>
      </w:pPr>
      <w:r>
        <w:t xml:space="preserve">Retained earnings increased because of net income, but decreased due to </w:t>
      </w:r>
      <w:r w:rsidR="003B41FD">
        <w:t>dividends ($267.6 million).</w:t>
      </w:r>
    </w:p>
    <w:p w:rsidR="00D033FD" w:rsidRDefault="00D033FD">
      <w:pPr>
        <w:widowControl/>
        <w:autoSpaceDE/>
        <w:autoSpaceDN/>
        <w:adjustRightInd/>
        <w:rPr>
          <w:rFonts w:cs="Arial"/>
          <w:b/>
          <w:szCs w:val="22"/>
          <w:u w:val="single"/>
        </w:rPr>
      </w:pPr>
    </w:p>
    <w:p w:rsidR="003902DC" w:rsidRDefault="006530DB" w:rsidP="00E230D4">
      <w:pPr>
        <w:pStyle w:val="text"/>
      </w:pPr>
      <w:r>
        <w:t>Management</w:t>
      </w:r>
      <w:r w:rsidR="0077707C">
        <w:t>’</w:t>
      </w:r>
      <w:r>
        <w:t>s Discussion and Analysis</w:t>
      </w:r>
      <w:r w:rsidR="006C6E9B">
        <w:t>:</w:t>
      </w:r>
    </w:p>
    <w:p w:rsidR="003B41FD" w:rsidRDefault="003B41FD" w:rsidP="003B41FD">
      <w:pPr>
        <w:pStyle w:val="6pt"/>
      </w:pPr>
    </w:p>
    <w:p w:rsidR="006530DB" w:rsidRDefault="006530DB" w:rsidP="003B41FD">
      <w:pPr>
        <w:pStyle w:val="text"/>
      </w:pPr>
      <w:r>
        <w:t>The MD&amp;A section contains many pieces of information, including:</w:t>
      </w:r>
    </w:p>
    <w:p w:rsidR="006530DB" w:rsidRDefault="006530DB" w:rsidP="00EA01E2">
      <w:pPr>
        <w:pStyle w:val="textbulletedlist"/>
      </w:pPr>
      <w:r>
        <w:t>Starbucks had 16,858 stores worldwide at the end of fiscal 2010.</w:t>
      </w:r>
    </w:p>
    <w:p w:rsidR="006530DB" w:rsidRDefault="006530DB" w:rsidP="00EA01E2">
      <w:pPr>
        <w:pStyle w:val="textbulletedlist"/>
      </w:pPr>
      <w:r>
        <w:t>In 2011, Starbucks expects mid-to-high single digits revenue growth</w:t>
      </w:r>
      <w:r w:rsidR="006C6E9B">
        <w:t>.</w:t>
      </w:r>
    </w:p>
    <w:p w:rsidR="006530DB" w:rsidRDefault="006530DB" w:rsidP="00EA01E2">
      <w:pPr>
        <w:pStyle w:val="textbulletedlist"/>
      </w:pPr>
      <w:r>
        <w:t>In 2011, Starbucks plans to open roughly 500 new stores, 100 in th</w:t>
      </w:r>
      <w:r w:rsidR="001F22EC">
        <w:t>e U</w:t>
      </w:r>
      <w:r w:rsidR="006C6E9B">
        <w:t xml:space="preserve">nited </w:t>
      </w:r>
      <w:r w:rsidR="001F22EC">
        <w:t>S</w:t>
      </w:r>
      <w:r w:rsidR="006C6E9B">
        <w:t>tates</w:t>
      </w:r>
      <w:r w:rsidR="001F22EC">
        <w:t xml:space="preserve"> and 400 internationally.</w:t>
      </w:r>
    </w:p>
    <w:p w:rsidR="006530DB" w:rsidRDefault="006530DB" w:rsidP="00EA01E2">
      <w:pPr>
        <w:pStyle w:val="textbulletedlist"/>
      </w:pPr>
      <w:r>
        <w:t>Starbucks expects capital expenditures to be approximately $550 m</w:t>
      </w:r>
      <w:r w:rsidR="001F22EC">
        <w:t>illion to $600 million in 2011.</w:t>
      </w:r>
    </w:p>
    <w:p w:rsidR="006F51F5" w:rsidRPr="001056B8" w:rsidRDefault="006F51F5" w:rsidP="001056B8">
      <w:pPr>
        <w:pStyle w:val="text"/>
      </w:pPr>
    </w:p>
    <w:p w:rsidR="00762272" w:rsidRDefault="00762272" w:rsidP="00A85F85">
      <w:pPr>
        <w:pStyle w:val="CaseAnswerHead"/>
      </w:pPr>
      <w:r w:rsidRPr="00762272">
        <w:rPr>
          <w:u w:val="single"/>
        </w:rPr>
        <w:t>C1-</w:t>
      </w:r>
      <w:r w:rsidR="00C17AD6">
        <w:rPr>
          <w:u w:val="single"/>
        </w:rPr>
        <w:t>8</w:t>
      </w:r>
    </w:p>
    <w:p w:rsidR="00EA01E2" w:rsidRPr="00762272" w:rsidRDefault="00EA01E2" w:rsidP="00E230D4">
      <w:pPr>
        <w:pStyle w:val="text"/>
        <w:rPr>
          <w:rFonts w:cs="Times"/>
          <w:b/>
        </w:rPr>
      </w:pPr>
    </w:p>
    <w:p w:rsidR="00405F93" w:rsidRDefault="00405F93" w:rsidP="00E230D4">
      <w:pPr>
        <w:pStyle w:val="text"/>
      </w:pPr>
      <w:r w:rsidRPr="003B41FD">
        <w:rPr>
          <w:u w:val="single"/>
        </w:rPr>
        <w:t>Note to Instructor:</w:t>
      </w:r>
      <w:r>
        <w:t xml:space="preserve"> This is an open-ended case question intended to get students reading and thinking about interesting information in each of the financial statements.</w:t>
      </w:r>
      <w:r w:rsidR="00FE0D30">
        <w:t xml:space="preserve"> </w:t>
      </w:r>
      <w:r>
        <w:t>Because of its open-ended nature, we take an open-minded approach to the answers students might offer. We are willing to accept any reasonable answers regarding what students consider to be interesting information, so long as the information is drawn from the appropriate statement and is explained in an appropriate manner.</w:t>
      </w:r>
      <w:r w:rsidR="00FE0D30">
        <w:t xml:space="preserve"> </w:t>
      </w:r>
      <w:r>
        <w:t>Some simple exam</w:t>
      </w:r>
      <w:r w:rsidR="001056B8">
        <w:t>ples for each statement follow.</w:t>
      </w:r>
    </w:p>
    <w:p w:rsidR="001B229B" w:rsidRDefault="001B229B">
      <w:pPr>
        <w:widowControl/>
        <w:autoSpaceDE/>
        <w:autoSpaceDN/>
        <w:adjustRightInd/>
        <w:rPr>
          <w:rFonts w:cs="Arial"/>
          <w:b/>
          <w:szCs w:val="22"/>
          <w:u w:val="single"/>
        </w:rPr>
      </w:pPr>
      <w:r>
        <w:rPr>
          <w:u w:val="single"/>
        </w:rPr>
        <w:br w:type="page"/>
      </w:r>
    </w:p>
    <w:p w:rsidR="001B229B" w:rsidRDefault="001B229B" w:rsidP="001B229B">
      <w:pPr>
        <w:pStyle w:val="CaseAnswerHead"/>
      </w:pPr>
      <w:r w:rsidRPr="00762272">
        <w:rPr>
          <w:u w:val="single"/>
        </w:rPr>
        <w:lastRenderedPageBreak/>
        <w:t>C1-</w:t>
      </w:r>
      <w:r>
        <w:rPr>
          <w:u w:val="single"/>
        </w:rPr>
        <w:t>8</w:t>
      </w:r>
      <w:r>
        <w:tab/>
        <w:t>(concluded)</w:t>
      </w:r>
    </w:p>
    <w:p w:rsidR="001B229B" w:rsidRPr="00762272" w:rsidRDefault="001B229B" w:rsidP="001B229B">
      <w:pPr>
        <w:pStyle w:val="text"/>
        <w:rPr>
          <w:rFonts w:cs="Times"/>
          <w:b/>
        </w:rPr>
      </w:pPr>
    </w:p>
    <w:p w:rsidR="00D866F6" w:rsidRDefault="00D866F6" w:rsidP="00E230D4">
      <w:pPr>
        <w:pStyle w:val="text"/>
      </w:pPr>
      <w:r w:rsidRPr="00710CBE">
        <w:rPr>
          <w:u w:val="single"/>
        </w:rPr>
        <w:t>Note:</w:t>
      </w:r>
      <w:r>
        <w:t xml:space="preserve"> all amounts in millions of CHF</w:t>
      </w:r>
    </w:p>
    <w:p w:rsidR="00D866F6" w:rsidRDefault="00D866F6" w:rsidP="00E230D4">
      <w:pPr>
        <w:pStyle w:val="text"/>
      </w:pPr>
    </w:p>
    <w:p w:rsidR="00342172" w:rsidRDefault="00342172" w:rsidP="00E230D4">
      <w:pPr>
        <w:pStyle w:val="text"/>
      </w:pPr>
      <w:r>
        <w:t>Balance Sheet:</w:t>
      </w:r>
    </w:p>
    <w:p w:rsidR="00D866F6" w:rsidRDefault="00D866F6" w:rsidP="00126D6E">
      <w:pPr>
        <w:pStyle w:val="textbulletedlist"/>
      </w:pPr>
      <w:r>
        <w:t>The largest assets consist of goodwill (</w:t>
      </w:r>
      <w:r w:rsidR="00EA01E2">
        <w:t xml:space="preserve">CHF </w:t>
      </w:r>
      <w:r>
        <w:t>27,</w:t>
      </w:r>
      <w:r w:rsidR="003B41FD">
        <w:t>031</w:t>
      </w:r>
      <w:r w:rsidR="00EA01E2">
        <w:t xml:space="preserve"> million</w:t>
      </w:r>
      <w:r>
        <w:t>), property, plant</w:t>
      </w:r>
      <w:r w:rsidR="003B41FD">
        <w:t>,</w:t>
      </w:r>
      <w:r>
        <w:t xml:space="preserve"> and equipment (</w:t>
      </w:r>
      <w:r w:rsidR="00EA01E2">
        <w:t xml:space="preserve">CHF </w:t>
      </w:r>
      <w:r>
        <w:t>21,</w:t>
      </w:r>
      <w:r w:rsidR="003B41FD">
        <w:t>438</w:t>
      </w:r>
      <w:r w:rsidR="009D3233" w:rsidRPr="009D3233">
        <w:t xml:space="preserve"> </w:t>
      </w:r>
      <w:r w:rsidR="009D3233">
        <w:t>million</w:t>
      </w:r>
      <w:r>
        <w:t>), and trade and other receivables (</w:t>
      </w:r>
      <w:r w:rsidR="00EA01E2">
        <w:t xml:space="preserve">CHF </w:t>
      </w:r>
      <w:r>
        <w:t>12,</w:t>
      </w:r>
      <w:r w:rsidR="003B41FD">
        <w:t>083</w:t>
      </w:r>
      <w:r w:rsidR="009D3233" w:rsidRPr="009D3233">
        <w:t xml:space="preserve"> </w:t>
      </w:r>
      <w:r w:rsidR="009D3233">
        <w:t>million</w:t>
      </w:r>
      <w:r>
        <w:t>).</w:t>
      </w:r>
    </w:p>
    <w:p w:rsidR="00405F93" w:rsidRPr="003B41FD" w:rsidRDefault="00405F93" w:rsidP="00731C09">
      <w:pPr>
        <w:pStyle w:val="textbulletedlist"/>
      </w:pPr>
      <w:r w:rsidRPr="003B41FD">
        <w:t xml:space="preserve">Large </w:t>
      </w:r>
      <w:r w:rsidR="003B41FD" w:rsidRPr="003B41FD">
        <w:t xml:space="preserve">change in the </w:t>
      </w:r>
      <w:r w:rsidRPr="003B41FD">
        <w:t>amount in assets held for sale</w:t>
      </w:r>
      <w:r w:rsidR="003B41FD" w:rsidRPr="003B41FD">
        <w:t xml:space="preserve"> from </w:t>
      </w:r>
      <w:r w:rsidR="00EA01E2" w:rsidRPr="003B41FD">
        <w:t xml:space="preserve">CHF </w:t>
      </w:r>
      <w:r w:rsidRPr="003B41FD">
        <w:t>11,203</w:t>
      </w:r>
      <w:r w:rsidR="009D3233" w:rsidRPr="003B41FD">
        <w:t xml:space="preserve"> million</w:t>
      </w:r>
      <w:r w:rsidR="003B41FD" w:rsidRPr="003B41FD">
        <w:t xml:space="preserve"> in 2009 to CHF 28 million in 2010</w:t>
      </w:r>
      <w:r w:rsidR="00AB02BF" w:rsidRPr="003B41FD">
        <w:t>.</w:t>
      </w:r>
    </w:p>
    <w:p w:rsidR="00342172" w:rsidRPr="00D32142" w:rsidRDefault="00405F93" w:rsidP="00126D6E">
      <w:pPr>
        <w:pStyle w:val="textbulletedlist"/>
      </w:pPr>
      <w:r w:rsidRPr="00D32142">
        <w:t>Tota</w:t>
      </w:r>
      <w:r w:rsidR="00D866F6" w:rsidRPr="00D32142">
        <w:t xml:space="preserve">l assets amount to </w:t>
      </w:r>
      <w:r w:rsidR="00EA01E2" w:rsidRPr="00D32142">
        <w:t xml:space="preserve">CHF </w:t>
      </w:r>
      <w:r w:rsidR="00D32142" w:rsidRPr="00D32142">
        <w:rPr>
          <w:rFonts w:cs="Tahoma"/>
          <w:color w:val="000000"/>
          <w:szCs w:val="20"/>
        </w:rPr>
        <w:t xml:space="preserve">111,641 </w:t>
      </w:r>
      <w:r w:rsidR="009D3233" w:rsidRPr="00D32142">
        <w:t>million</w:t>
      </w:r>
      <w:r w:rsidR="00DD2A82">
        <w:t>.</w:t>
      </w:r>
    </w:p>
    <w:p w:rsidR="00405F93" w:rsidRPr="00F1352F" w:rsidRDefault="00D32142" w:rsidP="00731C09">
      <w:pPr>
        <w:pStyle w:val="textbulletedlist"/>
      </w:pPr>
      <w:r w:rsidRPr="00F1352F">
        <w:t>More financing from equity than from debt—</w:t>
      </w:r>
      <w:r w:rsidR="00405F93" w:rsidRPr="00F1352F">
        <w:t xml:space="preserve">total liabilities amount to </w:t>
      </w:r>
      <w:r w:rsidR="009D3233" w:rsidRPr="00F1352F">
        <w:t xml:space="preserve">CHF </w:t>
      </w:r>
      <w:r w:rsidR="00F1352F" w:rsidRPr="00F1352F">
        <w:t xml:space="preserve">49,043 </w:t>
      </w:r>
      <w:r w:rsidR="009D3233" w:rsidRPr="00F1352F">
        <w:t>million</w:t>
      </w:r>
      <w:r w:rsidR="00405F93" w:rsidRPr="00F1352F">
        <w:t xml:space="preserve"> and total equity amounts to </w:t>
      </w:r>
      <w:r w:rsidR="00EA01E2" w:rsidRPr="00F1352F">
        <w:t xml:space="preserve">CHF </w:t>
      </w:r>
      <w:r w:rsidR="00F1352F" w:rsidRPr="00F1352F">
        <w:t xml:space="preserve">62,598 </w:t>
      </w:r>
      <w:r w:rsidR="009D3233" w:rsidRPr="00F1352F">
        <w:t>million</w:t>
      </w:r>
      <w:r w:rsidR="00DD2A82">
        <w:t>.</w:t>
      </w:r>
    </w:p>
    <w:p w:rsidR="00405F93" w:rsidRPr="00067754" w:rsidRDefault="00405F93" w:rsidP="00126D6E">
      <w:pPr>
        <w:pStyle w:val="textbulletedlist"/>
      </w:pPr>
      <w:r w:rsidRPr="00067754">
        <w:t xml:space="preserve">Financial </w:t>
      </w:r>
      <w:r w:rsidR="00722920">
        <w:t>debt</w:t>
      </w:r>
      <w:r w:rsidR="00067754" w:rsidRPr="00067754">
        <w:t>—</w:t>
      </w:r>
      <w:r w:rsidRPr="00067754">
        <w:t>current (</w:t>
      </w:r>
      <w:r w:rsidR="00EA01E2" w:rsidRPr="00067754">
        <w:t xml:space="preserve">CHF </w:t>
      </w:r>
      <w:r w:rsidR="00067754" w:rsidRPr="00067754">
        <w:rPr>
          <w:rFonts w:cs="Tahoma"/>
          <w:color w:val="000000"/>
          <w:szCs w:val="20"/>
        </w:rPr>
        <w:t xml:space="preserve">12,617 </w:t>
      </w:r>
      <w:r w:rsidR="009D3233" w:rsidRPr="00067754">
        <w:t>million</w:t>
      </w:r>
      <w:r w:rsidRPr="00067754">
        <w:t>) and noncurrent (</w:t>
      </w:r>
      <w:r w:rsidR="00EA01E2" w:rsidRPr="00067754">
        <w:t xml:space="preserve">CHF </w:t>
      </w:r>
      <w:r w:rsidR="00067754" w:rsidRPr="00067754">
        <w:rPr>
          <w:rFonts w:cs="Tahoma"/>
          <w:color w:val="000000"/>
          <w:szCs w:val="20"/>
        </w:rPr>
        <w:t xml:space="preserve">7,483 </w:t>
      </w:r>
      <w:r w:rsidR="009D3233" w:rsidRPr="00067754">
        <w:t>million</w:t>
      </w:r>
      <w:r w:rsidR="00126D6E" w:rsidRPr="00067754">
        <w:t>)</w:t>
      </w:r>
      <w:r w:rsidR="00067754" w:rsidRPr="00067754">
        <w:t>—</w:t>
      </w:r>
      <w:r w:rsidR="00126D6E" w:rsidRPr="00067754">
        <w:t>represent borrowings.</w:t>
      </w:r>
    </w:p>
    <w:p w:rsidR="00405F93" w:rsidRPr="00A82C9F" w:rsidRDefault="00405F93" w:rsidP="00126D6E">
      <w:pPr>
        <w:pStyle w:val="textbulletedlist"/>
      </w:pPr>
      <w:r w:rsidRPr="00A82C9F">
        <w:t>The largest liability that arises from operating activities is trade and other payables (</w:t>
      </w:r>
      <w:r w:rsidR="00EA01E2" w:rsidRPr="00A82C9F">
        <w:t xml:space="preserve">CHF </w:t>
      </w:r>
      <w:r w:rsidR="00A82C9F" w:rsidRPr="00A82C9F">
        <w:rPr>
          <w:rFonts w:cs="Tahoma"/>
          <w:color w:val="000000"/>
          <w:szCs w:val="20"/>
        </w:rPr>
        <w:t xml:space="preserve">12,592 </w:t>
      </w:r>
      <w:r w:rsidR="009D3233" w:rsidRPr="00A82C9F">
        <w:t>million</w:t>
      </w:r>
      <w:r w:rsidRPr="00A82C9F">
        <w:t>)</w:t>
      </w:r>
      <w:r w:rsidR="00A82C9F" w:rsidRPr="00A82C9F">
        <w:t>.</w:t>
      </w:r>
    </w:p>
    <w:p w:rsidR="00405F93" w:rsidRPr="00A82C9F" w:rsidRDefault="00405F93" w:rsidP="00126D6E">
      <w:pPr>
        <w:pStyle w:val="textbulletedlist"/>
      </w:pPr>
      <w:r w:rsidRPr="00A82C9F">
        <w:t xml:space="preserve">Retained earnings account for common equity: </w:t>
      </w:r>
      <w:r w:rsidR="00EA01E2" w:rsidRPr="00A82C9F">
        <w:t xml:space="preserve">CHF </w:t>
      </w:r>
      <w:r w:rsidR="00A82C9F" w:rsidRPr="00A82C9F">
        <w:rPr>
          <w:rFonts w:cs="Tahoma"/>
          <w:color w:val="000000"/>
          <w:szCs w:val="20"/>
        </w:rPr>
        <w:t xml:space="preserve">88,422 </w:t>
      </w:r>
      <w:r w:rsidR="009D3233" w:rsidRPr="00A82C9F">
        <w:t>million</w:t>
      </w:r>
      <w:r w:rsidRPr="00A82C9F">
        <w:t>.</w:t>
      </w:r>
    </w:p>
    <w:p w:rsidR="00762272" w:rsidRDefault="00762272" w:rsidP="00E230D4">
      <w:pPr>
        <w:pStyle w:val="text"/>
      </w:pPr>
    </w:p>
    <w:p w:rsidR="00E22AD5" w:rsidRDefault="00E22AD5" w:rsidP="00E230D4">
      <w:pPr>
        <w:pStyle w:val="text"/>
      </w:pPr>
      <w:r>
        <w:t>Income Statement:</w:t>
      </w:r>
    </w:p>
    <w:p w:rsidR="00405F93" w:rsidRPr="00731C09" w:rsidRDefault="00E22AD5" w:rsidP="00731C09">
      <w:pPr>
        <w:pStyle w:val="textbulletedlist"/>
      </w:pPr>
      <w:r w:rsidRPr="00731C09">
        <w:t xml:space="preserve">Revenues of </w:t>
      </w:r>
      <w:r w:rsidR="00EA01E2" w:rsidRPr="00731C09">
        <w:t xml:space="preserve">CHF </w:t>
      </w:r>
      <w:r w:rsidR="00525B52" w:rsidRPr="00731C09">
        <w:rPr>
          <w:szCs w:val="20"/>
        </w:rPr>
        <w:t xml:space="preserve">104,613 </w:t>
      </w:r>
      <w:r w:rsidR="009D3233" w:rsidRPr="00731C09">
        <w:t>million</w:t>
      </w:r>
      <w:r w:rsidR="00405F93" w:rsidRPr="00731C09">
        <w:t xml:space="preserve"> from continuing operations and </w:t>
      </w:r>
      <w:r w:rsidR="00EA01E2" w:rsidRPr="00731C09">
        <w:t xml:space="preserve">CHF </w:t>
      </w:r>
      <w:r w:rsidR="00525B52" w:rsidRPr="00731C09">
        <w:rPr>
          <w:szCs w:val="20"/>
        </w:rPr>
        <w:t xml:space="preserve">5,109 </w:t>
      </w:r>
      <w:r w:rsidR="009D3233" w:rsidRPr="00731C09">
        <w:t>million</w:t>
      </w:r>
      <w:r w:rsidR="00405F93" w:rsidRPr="00731C09">
        <w:t xml:space="preserve"> from discontinued operations for a total of </w:t>
      </w:r>
      <w:r w:rsidR="009D3233" w:rsidRPr="00731C09">
        <w:t xml:space="preserve">CHF </w:t>
      </w:r>
      <w:r w:rsidR="00525B52" w:rsidRPr="00731C09">
        <w:rPr>
          <w:szCs w:val="20"/>
        </w:rPr>
        <w:t xml:space="preserve">109,722 </w:t>
      </w:r>
      <w:r w:rsidR="009D3233" w:rsidRPr="00731C09">
        <w:t>million</w:t>
      </w:r>
      <w:r w:rsidR="00405F93" w:rsidRPr="00731C09">
        <w:t xml:space="preserve"> in </w:t>
      </w:r>
      <w:r w:rsidR="00525B52" w:rsidRPr="00731C09">
        <w:rPr>
          <w:szCs w:val="20"/>
        </w:rPr>
        <w:t>2010</w:t>
      </w:r>
      <w:r w:rsidR="00405F93" w:rsidRPr="00731C09">
        <w:t>.</w:t>
      </w:r>
    </w:p>
    <w:p w:rsidR="001F22EC" w:rsidRPr="00731C09" w:rsidRDefault="00405F93" w:rsidP="00731C09">
      <w:pPr>
        <w:pStyle w:val="textbulletedlist"/>
      </w:pPr>
      <w:r w:rsidRPr="00731C09">
        <w:t xml:space="preserve">Profit for the year was </w:t>
      </w:r>
      <w:r w:rsidR="00EA01E2" w:rsidRPr="00731C09">
        <w:t xml:space="preserve">CHF </w:t>
      </w:r>
      <w:r w:rsidR="00525B52" w:rsidRPr="00731C09">
        <w:rPr>
          <w:szCs w:val="20"/>
        </w:rPr>
        <w:t xml:space="preserve">9,048 </w:t>
      </w:r>
      <w:r w:rsidR="009D3233" w:rsidRPr="00731C09">
        <w:t>million</w:t>
      </w:r>
      <w:r w:rsidRPr="00731C09">
        <w:t xml:space="preserve"> from continuing operations and </w:t>
      </w:r>
      <w:r w:rsidR="00EA01E2" w:rsidRPr="00731C09">
        <w:t xml:space="preserve">CHF </w:t>
      </w:r>
      <w:r w:rsidR="00525B52" w:rsidRPr="00731C09">
        <w:rPr>
          <w:szCs w:val="20"/>
        </w:rPr>
        <w:t xml:space="preserve">26,336 </w:t>
      </w:r>
      <w:r w:rsidR="009D3233" w:rsidRPr="00731C09">
        <w:t>million</w:t>
      </w:r>
      <w:r w:rsidRPr="00731C09">
        <w:t xml:space="preserve"> from discontinued operations</w:t>
      </w:r>
      <w:r w:rsidR="00525B52" w:rsidRPr="00731C09">
        <w:rPr>
          <w:szCs w:val="20"/>
        </w:rPr>
        <w:t xml:space="preserve"> for total profit of CHF 35,384 million for 2010</w:t>
      </w:r>
      <w:r w:rsidRPr="00731C09">
        <w:t>.</w:t>
      </w:r>
    </w:p>
    <w:p w:rsidR="0016292B" w:rsidRDefault="0016292B">
      <w:pPr>
        <w:widowControl/>
        <w:autoSpaceDE/>
        <w:autoSpaceDN/>
        <w:adjustRightInd/>
        <w:rPr>
          <w:rFonts w:cs="Arial"/>
          <w:b/>
          <w:szCs w:val="22"/>
          <w:u w:val="single"/>
        </w:rPr>
      </w:pPr>
    </w:p>
    <w:p w:rsidR="003902DC" w:rsidRDefault="003902DC" w:rsidP="00E230D4">
      <w:pPr>
        <w:pStyle w:val="text"/>
      </w:pPr>
      <w:r>
        <w:t>Statement of Cash Flows:</w:t>
      </w:r>
    </w:p>
    <w:p w:rsidR="003902DC" w:rsidRPr="00596446" w:rsidRDefault="003902DC" w:rsidP="00596446">
      <w:pPr>
        <w:pStyle w:val="textbulletedlist"/>
      </w:pPr>
      <w:r w:rsidRPr="00596446">
        <w:t xml:space="preserve">Operating cash flows are very healthy: </w:t>
      </w:r>
      <w:r w:rsidR="00EA01E2" w:rsidRPr="00596446">
        <w:t xml:space="preserve">CHF </w:t>
      </w:r>
      <w:r w:rsidR="00525B52" w:rsidRPr="00596446">
        <w:rPr>
          <w:rFonts w:cs="Tahoma"/>
          <w:color w:val="000000"/>
          <w:szCs w:val="20"/>
        </w:rPr>
        <w:t xml:space="preserve">13,608 </w:t>
      </w:r>
      <w:r w:rsidR="009D3233" w:rsidRPr="00596446">
        <w:t>million</w:t>
      </w:r>
      <w:r w:rsidRPr="00596446">
        <w:t xml:space="preserve">, most of which comes from </w:t>
      </w:r>
      <w:r w:rsidR="00405F93" w:rsidRPr="00596446">
        <w:t>profit</w:t>
      </w:r>
      <w:r w:rsidRPr="00596446">
        <w:t xml:space="preserve"> </w:t>
      </w:r>
      <w:r w:rsidR="00525B52" w:rsidRPr="00596446">
        <w:rPr>
          <w:rFonts w:cs="Tahoma"/>
          <w:color w:val="000000"/>
          <w:szCs w:val="20"/>
        </w:rPr>
        <w:t>minus</w:t>
      </w:r>
      <w:r w:rsidRPr="00596446">
        <w:t xml:space="preserve"> the </w:t>
      </w:r>
      <w:r w:rsidR="00405F93" w:rsidRPr="00596446">
        <w:t>non-cash items</w:t>
      </w:r>
      <w:r w:rsidRPr="00596446">
        <w:t>.</w:t>
      </w:r>
    </w:p>
    <w:p w:rsidR="00525B52" w:rsidRPr="00596446" w:rsidRDefault="003902DC" w:rsidP="00596446">
      <w:pPr>
        <w:pStyle w:val="textbulletedlist"/>
        <w:rPr>
          <w:rFonts w:cs="Tahoma"/>
          <w:szCs w:val="20"/>
        </w:rPr>
      </w:pPr>
      <w:r w:rsidRPr="00596446">
        <w:t xml:space="preserve">Investing cash flows: </w:t>
      </w:r>
      <w:r w:rsidR="00EA01E2" w:rsidRPr="00596446">
        <w:t xml:space="preserve">CHF </w:t>
      </w:r>
      <w:r w:rsidR="00525B52" w:rsidRPr="00596446">
        <w:rPr>
          <w:rFonts w:cs="Tahoma"/>
          <w:color w:val="000000"/>
          <w:szCs w:val="20"/>
        </w:rPr>
        <w:t xml:space="preserve">14,549 </w:t>
      </w:r>
      <w:r w:rsidR="009D3233" w:rsidRPr="00596446">
        <w:t>million</w:t>
      </w:r>
      <w:r w:rsidRPr="00596446">
        <w:t xml:space="preserve">, primarily </w:t>
      </w:r>
      <w:r w:rsidR="00525B52" w:rsidRPr="00596446">
        <w:rPr>
          <w:rFonts w:cs="Tahoma"/>
          <w:color w:val="000000"/>
          <w:szCs w:val="20"/>
        </w:rPr>
        <w:t>from the disposal of businesses (CHF 27,715 million).</w:t>
      </w:r>
    </w:p>
    <w:p w:rsidR="003902DC" w:rsidRPr="00596446" w:rsidRDefault="00405F93" w:rsidP="00596446">
      <w:pPr>
        <w:pStyle w:val="textbulletedlist"/>
      </w:pPr>
      <w:r w:rsidRPr="00596446">
        <w:t xml:space="preserve">Financing cash flows: </w:t>
      </w:r>
      <w:r w:rsidR="00EA145A">
        <w:t>(</w:t>
      </w:r>
      <w:r w:rsidR="00EA01E2" w:rsidRPr="00596446">
        <w:t xml:space="preserve">CHF </w:t>
      </w:r>
      <w:r w:rsidR="00525B52" w:rsidRPr="00596446">
        <w:rPr>
          <w:rFonts w:cs="Tahoma"/>
          <w:color w:val="000000"/>
          <w:szCs w:val="20"/>
        </w:rPr>
        <w:t xml:space="preserve">25,808 </w:t>
      </w:r>
      <w:r w:rsidR="009D3233" w:rsidRPr="00596446">
        <w:t>million</w:t>
      </w:r>
      <w:r w:rsidR="00EA145A">
        <w:t>)</w:t>
      </w:r>
      <w:r w:rsidR="003902DC" w:rsidRPr="00596446">
        <w:t>, primarily for dividends</w:t>
      </w:r>
      <w:r w:rsidR="00525B52" w:rsidRPr="00596446">
        <w:t xml:space="preserve">, </w:t>
      </w:r>
      <w:r w:rsidR="003902DC" w:rsidRPr="00596446">
        <w:t>repurchases of common stock</w:t>
      </w:r>
      <w:r w:rsidR="00525B52" w:rsidRPr="00596446">
        <w:rPr>
          <w:rFonts w:cs="Tahoma"/>
          <w:color w:val="000000"/>
          <w:szCs w:val="20"/>
        </w:rPr>
        <w:t>, and purchases of short-term investments</w:t>
      </w:r>
      <w:r w:rsidR="0016292B">
        <w:t>.</w:t>
      </w:r>
    </w:p>
    <w:p w:rsidR="003902DC" w:rsidRPr="007708B7" w:rsidRDefault="003902DC" w:rsidP="007708B7">
      <w:pPr>
        <w:pStyle w:val="textbulletedlist"/>
      </w:pPr>
      <w:r w:rsidRPr="007708B7">
        <w:t xml:space="preserve">Cash balance </w:t>
      </w:r>
      <w:r w:rsidR="00596446" w:rsidRPr="007708B7">
        <w:rPr>
          <w:szCs w:val="20"/>
        </w:rPr>
        <w:t>increased</w:t>
      </w:r>
      <w:r w:rsidR="00301A9F" w:rsidRPr="007708B7">
        <w:t xml:space="preserve">: </w:t>
      </w:r>
      <w:r w:rsidR="00EA01E2" w:rsidRPr="007708B7">
        <w:t xml:space="preserve">CHF </w:t>
      </w:r>
      <w:r w:rsidR="00596446" w:rsidRPr="007708B7">
        <w:rPr>
          <w:szCs w:val="20"/>
        </w:rPr>
        <w:t xml:space="preserve">5,825 </w:t>
      </w:r>
      <w:r w:rsidR="009D3233" w:rsidRPr="007708B7">
        <w:t>million</w:t>
      </w:r>
      <w:r w:rsidR="00301A9F" w:rsidRPr="007708B7">
        <w:t xml:space="preserve"> at the beginning of </w:t>
      </w:r>
      <w:r w:rsidR="00596446" w:rsidRPr="007708B7">
        <w:rPr>
          <w:szCs w:val="20"/>
        </w:rPr>
        <w:t>2010</w:t>
      </w:r>
      <w:r w:rsidR="00301A9F" w:rsidRPr="007708B7">
        <w:t xml:space="preserve">, </w:t>
      </w:r>
      <w:r w:rsidR="00EA01E2" w:rsidRPr="007708B7">
        <w:t xml:space="preserve">CHF </w:t>
      </w:r>
      <w:r w:rsidR="00A63FDD" w:rsidRPr="007708B7">
        <w:rPr>
          <w:szCs w:val="20"/>
        </w:rPr>
        <w:t>8,057</w:t>
      </w:r>
      <w:r w:rsidR="007708B7" w:rsidRPr="007708B7">
        <w:rPr>
          <w:szCs w:val="20"/>
        </w:rPr>
        <w:t xml:space="preserve"> </w:t>
      </w:r>
      <w:r w:rsidR="009D3233" w:rsidRPr="007708B7">
        <w:t>million</w:t>
      </w:r>
      <w:r w:rsidR="00301A9F" w:rsidRPr="007708B7">
        <w:t xml:space="preserve"> at the end of</w:t>
      </w:r>
      <w:r w:rsidRPr="007708B7">
        <w:t xml:space="preserve"> </w:t>
      </w:r>
      <w:r w:rsidR="00596446" w:rsidRPr="007708B7">
        <w:rPr>
          <w:szCs w:val="20"/>
        </w:rPr>
        <w:t>2010</w:t>
      </w:r>
      <w:r w:rsidR="00301A9F" w:rsidRPr="007708B7">
        <w:t>.</w:t>
      </w:r>
    </w:p>
    <w:p w:rsidR="006107BD" w:rsidRDefault="006107BD" w:rsidP="001056B8">
      <w:pPr>
        <w:pStyle w:val="text"/>
      </w:pPr>
    </w:p>
    <w:p w:rsidR="00762272" w:rsidRPr="00762272" w:rsidRDefault="00762272" w:rsidP="00A85F85">
      <w:pPr>
        <w:pStyle w:val="CaseAnswerHead"/>
      </w:pPr>
      <w:r w:rsidRPr="00762272">
        <w:rPr>
          <w:u w:val="single"/>
        </w:rPr>
        <w:t>C1-</w:t>
      </w:r>
      <w:r w:rsidR="00F450F1">
        <w:rPr>
          <w:u w:val="single"/>
        </w:rPr>
        <w:t>9</w:t>
      </w:r>
    </w:p>
    <w:p w:rsidR="00A85F85" w:rsidRDefault="00A85F85" w:rsidP="00E230D4">
      <w:pPr>
        <w:pStyle w:val="text"/>
      </w:pPr>
    </w:p>
    <w:p w:rsidR="00405F93" w:rsidRDefault="00405F93" w:rsidP="00E230D4">
      <w:pPr>
        <w:pStyle w:val="text"/>
      </w:pPr>
      <w:r w:rsidRPr="00080AEE">
        <w:rPr>
          <w:u w:val="single"/>
        </w:rPr>
        <w:t>Note to Instructor:</w:t>
      </w:r>
      <w:r>
        <w:t xml:space="preserve"> This is an open-ended case question intended to get students reading and thinking about interesting information in each of the financial statements.</w:t>
      </w:r>
      <w:r w:rsidR="00FE0D30">
        <w:t xml:space="preserve"> </w:t>
      </w:r>
      <w:r>
        <w:t>Because of its open-ended nature, we take an open-minded approach to the answers students might offer. We are willing to accept any reasonable answers regarding what students consider to be interesting information, so long as the information is drawn from the appropriate statement and is explained in an appropriate manner.</w:t>
      </w:r>
      <w:r w:rsidR="00FE0D30">
        <w:t xml:space="preserve"> </w:t>
      </w:r>
      <w:r>
        <w:t>Some simple exam</w:t>
      </w:r>
      <w:r w:rsidR="00126D6E">
        <w:t>ples for each statement follow.</w:t>
      </w:r>
    </w:p>
    <w:p w:rsidR="008F1CDF" w:rsidRDefault="008F1CDF">
      <w:pPr>
        <w:widowControl/>
        <w:autoSpaceDE/>
        <w:autoSpaceDN/>
        <w:adjustRightInd/>
        <w:rPr>
          <w:rFonts w:cs="Arial"/>
          <w:b/>
          <w:szCs w:val="22"/>
          <w:u w:val="single"/>
        </w:rPr>
      </w:pPr>
      <w:r>
        <w:rPr>
          <w:u w:val="single"/>
        </w:rPr>
        <w:br w:type="page"/>
      </w:r>
    </w:p>
    <w:p w:rsidR="008F1CDF" w:rsidRPr="00762272" w:rsidRDefault="008F1CDF" w:rsidP="008F1CDF">
      <w:pPr>
        <w:pStyle w:val="CaseAnswerHead"/>
      </w:pPr>
      <w:r w:rsidRPr="00762272">
        <w:rPr>
          <w:u w:val="single"/>
        </w:rPr>
        <w:lastRenderedPageBreak/>
        <w:t>C1-</w:t>
      </w:r>
      <w:r>
        <w:rPr>
          <w:u w:val="single"/>
        </w:rPr>
        <w:t>9</w:t>
      </w:r>
      <w:r>
        <w:tab/>
        <w:t>(concluded)</w:t>
      </w:r>
    </w:p>
    <w:p w:rsidR="008F1CDF" w:rsidRDefault="008F1CDF" w:rsidP="008F1CDF">
      <w:pPr>
        <w:pStyle w:val="text"/>
      </w:pPr>
    </w:p>
    <w:p w:rsidR="00342172" w:rsidRDefault="00342172" w:rsidP="00E230D4">
      <w:pPr>
        <w:pStyle w:val="text"/>
      </w:pPr>
      <w:r>
        <w:t>Balance Sheet:</w:t>
      </w:r>
    </w:p>
    <w:p w:rsidR="00342172" w:rsidRPr="007708B7" w:rsidRDefault="00342172" w:rsidP="007708B7">
      <w:pPr>
        <w:pStyle w:val="textbulletedlist"/>
      </w:pPr>
      <w:r w:rsidRPr="007708B7">
        <w:t xml:space="preserve">Enormous holdings of cash </w:t>
      </w:r>
      <w:r w:rsidR="00591506" w:rsidRPr="007708B7">
        <w:rPr>
          <w:szCs w:val="20"/>
        </w:rPr>
        <w:t xml:space="preserve">and cash equivalents, $8,517 </w:t>
      </w:r>
      <w:r w:rsidRPr="007708B7">
        <w:t>million</w:t>
      </w:r>
      <w:r w:rsidR="008F1CDF">
        <w:t>.</w:t>
      </w:r>
    </w:p>
    <w:p w:rsidR="00D37365" w:rsidRDefault="00D37365" w:rsidP="00D27787">
      <w:pPr>
        <w:pStyle w:val="textbulletedlist"/>
      </w:pPr>
      <w:r>
        <w:t xml:space="preserve">Big increase in </w:t>
      </w:r>
      <w:r w:rsidR="00591506">
        <w:t>goodwill</w:t>
      </w:r>
      <w:r>
        <w:t xml:space="preserve">, from </w:t>
      </w:r>
      <w:r w:rsidR="00591506">
        <w:t>$9,561 million in 2009</w:t>
      </w:r>
      <w:r>
        <w:t xml:space="preserve"> to $</w:t>
      </w:r>
      <w:r w:rsidR="00591506">
        <w:t xml:space="preserve">11,665 </w:t>
      </w:r>
      <w:r>
        <w:t>million</w:t>
      </w:r>
      <w:r w:rsidR="00591506">
        <w:t xml:space="preserve"> in 2010</w:t>
      </w:r>
      <w:r>
        <w:t>.</w:t>
      </w:r>
    </w:p>
    <w:p w:rsidR="00342172" w:rsidRDefault="00D37365" w:rsidP="00D27787">
      <w:pPr>
        <w:pStyle w:val="textbulletedlist"/>
      </w:pPr>
      <w:r>
        <w:t>Largest asset</w:t>
      </w:r>
      <w:r w:rsidR="00AA75BC">
        <w:t>—</w:t>
      </w:r>
      <w:r>
        <w:t>p</w:t>
      </w:r>
      <w:r w:rsidR="00342172">
        <w:t>roperty, plant, and equipment, $</w:t>
      </w:r>
      <w:r w:rsidR="00D27787">
        <w:t xml:space="preserve">14,727 </w:t>
      </w:r>
      <w:r w:rsidR="00342172">
        <w:t>million</w:t>
      </w:r>
      <w:r>
        <w:t>.</w:t>
      </w:r>
    </w:p>
    <w:p w:rsidR="00D37365" w:rsidRDefault="00D37365" w:rsidP="00D27787">
      <w:pPr>
        <w:pStyle w:val="textbulletedlist"/>
      </w:pPr>
      <w:r>
        <w:t>Significant holdings of equity method investments</w:t>
      </w:r>
      <w:r w:rsidR="00D27787">
        <w:t>,</w:t>
      </w:r>
      <w:r>
        <w:t xml:space="preserve"> $</w:t>
      </w:r>
      <w:r w:rsidR="00D27787">
        <w:t xml:space="preserve">6,954 </w:t>
      </w:r>
      <w:r>
        <w:t>million</w:t>
      </w:r>
      <w:r w:rsidR="00D27787" w:rsidRPr="00D27787">
        <w:t xml:space="preserve"> </w:t>
      </w:r>
      <w:r w:rsidR="00D27787">
        <w:t>and bottlers' franchise rights with indefinite lives, $7,511 million</w:t>
      </w:r>
      <w:r>
        <w:t>.</w:t>
      </w:r>
    </w:p>
    <w:p w:rsidR="00D37365" w:rsidRDefault="00D37365" w:rsidP="00D27787">
      <w:pPr>
        <w:pStyle w:val="textbulletedlist"/>
      </w:pPr>
      <w:r>
        <w:t>Total assets are $</w:t>
      </w:r>
      <w:r w:rsidR="00D27787">
        <w:t xml:space="preserve">72,921 </w:t>
      </w:r>
      <w:r>
        <w:t>million.</w:t>
      </w:r>
    </w:p>
    <w:p w:rsidR="00D37365" w:rsidRDefault="00D37365" w:rsidP="00D27787">
      <w:pPr>
        <w:pStyle w:val="textbulletedlist"/>
      </w:pPr>
      <w:r>
        <w:t>Financial debt</w:t>
      </w:r>
      <w:r w:rsidR="00AA75BC">
        <w:t>—</w:t>
      </w:r>
      <w:r>
        <w:t>current ($</w:t>
      </w:r>
      <w:r w:rsidR="00D27787">
        <w:t xml:space="preserve">9,376 </w:t>
      </w:r>
      <w:r>
        <w:t>million) and long-term ($</w:t>
      </w:r>
      <w:r w:rsidR="00D27787">
        <w:t>14,041 million).</w:t>
      </w:r>
    </w:p>
    <w:p w:rsidR="00C676E6" w:rsidRDefault="00D27787" w:rsidP="00D27787">
      <w:pPr>
        <w:pStyle w:val="textbulletedlist"/>
      </w:pPr>
      <w:r>
        <w:t>Financed with more debt than equity</w:t>
      </w:r>
      <w:r w:rsidR="00AA75BC">
        <w:t>—</w:t>
      </w:r>
      <w:r w:rsidR="00C676E6">
        <w:t>total liabilities amount to $</w:t>
      </w:r>
      <w:r>
        <w:t xml:space="preserve">41,604 </w:t>
      </w:r>
      <w:r w:rsidR="00C676E6">
        <w:t>million and total equity amounts to $</w:t>
      </w:r>
      <w:r>
        <w:t xml:space="preserve">31,317 </w:t>
      </w:r>
      <w:r w:rsidR="00C676E6">
        <w:t>million.</w:t>
      </w:r>
    </w:p>
    <w:p w:rsidR="00342172" w:rsidRDefault="00342172" w:rsidP="00D27787">
      <w:pPr>
        <w:pStyle w:val="textbulletedlist"/>
      </w:pPr>
      <w:r>
        <w:t xml:space="preserve">The majority of equity arises from retained </w:t>
      </w:r>
      <w:r w:rsidR="00D37365">
        <w:t xml:space="preserve">(reinvested) </w:t>
      </w:r>
      <w:r w:rsidR="002A1668">
        <w:t>earnings.</w:t>
      </w:r>
    </w:p>
    <w:p w:rsidR="00762272" w:rsidRPr="0060228C" w:rsidRDefault="00762272" w:rsidP="00E230D4">
      <w:pPr>
        <w:pStyle w:val="text"/>
        <w:rPr>
          <w:sz w:val="16"/>
          <w:szCs w:val="16"/>
        </w:rPr>
      </w:pPr>
    </w:p>
    <w:p w:rsidR="00E22AD5" w:rsidRDefault="00E22AD5" w:rsidP="00E230D4">
      <w:pPr>
        <w:pStyle w:val="text"/>
      </w:pPr>
      <w:r>
        <w:t>Income Statement:</w:t>
      </w:r>
    </w:p>
    <w:p w:rsidR="00E22AD5" w:rsidRPr="00CF26B8" w:rsidRDefault="00E22AD5" w:rsidP="00CF26B8">
      <w:pPr>
        <w:pStyle w:val="textbulletedlist"/>
      </w:pPr>
      <w:r w:rsidRPr="00CF26B8">
        <w:t>Revenues of $</w:t>
      </w:r>
      <w:r w:rsidR="00CF26B8" w:rsidRPr="00CF26B8">
        <w:rPr>
          <w:rFonts w:cs="Tahoma"/>
          <w:color w:val="000000"/>
          <w:szCs w:val="20"/>
        </w:rPr>
        <w:t xml:space="preserve">35,119 </w:t>
      </w:r>
      <w:r w:rsidR="00AB02BF" w:rsidRPr="00CF26B8">
        <w:t>million</w:t>
      </w:r>
      <w:r w:rsidR="00A259CF">
        <w:t>.</w:t>
      </w:r>
    </w:p>
    <w:p w:rsidR="00E22AD5" w:rsidRPr="00CF26B8" w:rsidRDefault="00E22AD5" w:rsidP="00CF26B8">
      <w:pPr>
        <w:pStyle w:val="textbulletedlist"/>
      </w:pPr>
      <w:r w:rsidRPr="00CF26B8">
        <w:t xml:space="preserve">Big </w:t>
      </w:r>
      <w:r w:rsidR="00CF26B8" w:rsidRPr="00CF26B8">
        <w:rPr>
          <w:rFonts w:cs="Tahoma"/>
          <w:color w:val="000000"/>
          <w:szCs w:val="20"/>
        </w:rPr>
        <w:t>jump</w:t>
      </w:r>
      <w:r w:rsidRPr="00CF26B8">
        <w:t xml:space="preserve"> in revenues</w:t>
      </w:r>
      <w:r w:rsidR="00126D6E" w:rsidRPr="00CF26B8">
        <w:t>—</w:t>
      </w:r>
      <w:r w:rsidRPr="00CF26B8">
        <w:t>from $</w:t>
      </w:r>
      <w:r w:rsidR="00CF26B8" w:rsidRPr="00CF26B8">
        <w:rPr>
          <w:rFonts w:cs="Tahoma"/>
          <w:color w:val="000000"/>
          <w:szCs w:val="20"/>
        </w:rPr>
        <w:t xml:space="preserve">30,990 </w:t>
      </w:r>
      <w:r w:rsidRPr="00CF26B8">
        <w:t xml:space="preserve">million in </w:t>
      </w:r>
      <w:r w:rsidR="00CF26B8" w:rsidRPr="00CF26B8">
        <w:rPr>
          <w:rFonts w:cs="Tahoma"/>
          <w:color w:val="000000"/>
          <w:szCs w:val="20"/>
        </w:rPr>
        <w:t>2009</w:t>
      </w:r>
      <w:r w:rsidRPr="00CF26B8">
        <w:t xml:space="preserve"> to $</w:t>
      </w:r>
      <w:r w:rsidR="00CF26B8" w:rsidRPr="00CF26B8">
        <w:rPr>
          <w:rFonts w:cs="Tahoma"/>
          <w:color w:val="000000"/>
          <w:szCs w:val="20"/>
        </w:rPr>
        <w:t xml:space="preserve">35,119 </w:t>
      </w:r>
      <w:r w:rsidR="00147384" w:rsidRPr="00CF26B8">
        <w:t>million</w:t>
      </w:r>
      <w:r w:rsidRPr="00CF26B8">
        <w:t xml:space="preserve"> in </w:t>
      </w:r>
      <w:r w:rsidR="00CF26B8" w:rsidRPr="00CF26B8">
        <w:rPr>
          <w:rFonts w:cs="Tahoma"/>
          <w:color w:val="000000"/>
          <w:szCs w:val="20"/>
        </w:rPr>
        <w:t>2010</w:t>
      </w:r>
      <w:r w:rsidR="00147384" w:rsidRPr="00CF26B8">
        <w:t>.</w:t>
      </w:r>
    </w:p>
    <w:p w:rsidR="00E22AD5" w:rsidRPr="00A259CF" w:rsidRDefault="00147384" w:rsidP="00A259CF">
      <w:pPr>
        <w:pStyle w:val="textbulletedlist"/>
      </w:pPr>
      <w:r w:rsidRPr="00A259CF">
        <w:t xml:space="preserve">Equity income turned from big losses </w:t>
      </w:r>
      <w:r w:rsidR="00A259CF" w:rsidRPr="00A259CF">
        <w:t xml:space="preserve">of ($874 million) </w:t>
      </w:r>
      <w:r w:rsidRPr="00A259CF">
        <w:t xml:space="preserve">in 2008 to big profits </w:t>
      </w:r>
      <w:r w:rsidR="00A259CF" w:rsidRPr="00A259CF">
        <w:t xml:space="preserve">of $781 million </w:t>
      </w:r>
      <w:r w:rsidRPr="00A259CF">
        <w:t xml:space="preserve">in 2009 </w:t>
      </w:r>
      <w:r w:rsidR="00CF26B8" w:rsidRPr="00A259CF">
        <w:t>to even bigger profits</w:t>
      </w:r>
      <w:r w:rsidR="00A259CF" w:rsidRPr="00A259CF">
        <w:t xml:space="preserve"> of $1,025 million </w:t>
      </w:r>
      <w:r w:rsidR="00CF26B8" w:rsidRPr="00A259CF">
        <w:t>in 2010</w:t>
      </w:r>
      <w:r w:rsidR="00A259CF" w:rsidRPr="00A259CF">
        <w:t>.</w:t>
      </w:r>
    </w:p>
    <w:p w:rsidR="00E22AD5" w:rsidRPr="00CF26B8" w:rsidRDefault="00147384" w:rsidP="00CF26B8">
      <w:pPr>
        <w:pStyle w:val="textbulletedlist"/>
      </w:pPr>
      <w:r w:rsidRPr="00CF26B8">
        <w:t xml:space="preserve">Big jump in </w:t>
      </w:r>
      <w:r w:rsidR="00CF26B8" w:rsidRPr="00CF26B8">
        <w:rPr>
          <w:rFonts w:cs="Tahoma"/>
          <w:color w:val="000000"/>
          <w:szCs w:val="20"/>
        </w:rPr>
        <w:t>net income</w:t>
      </w:r>
      <w:r w:rsidR="00E22AD5" w:rsidRPr="00CF26B8">
        <w:t>: $</w:t>
      </w:r>
      <w:r w:rsidR="00CF26B8" w:rsidRPr="00CF26B8">
        <w:rPr>
          <w:rFonts w:cs="Tahoma"/>
          <w:color w:val="000000"/>
          <w:szCs w:val="20"/>
        </w:rPr>
        <w:t xml:space="preserve">11,809 </w:t>
      </w:r>
      <w:r w:rsidR="00E22AD5" w:rsidRPr="00CF26B8">
        <w:t>million</w:t>
      </w:r>
      <w:r w:rsidRPr="00CF26B8">
        <w:t xml:space="preserve"> in </w:t>
      </w:r>
      <w:r w:rsidR="00CF26B8" w:rsidRPr="00CF26B8">
        <w:rPr>
          <w:rFonts w:cs="Tahoma"/>
          <w:color w:val="000000"/>
          <w:szCs w:val="20"/>
        </w:rPr>
        <w:t>2010</w:t>
      </w:r>
      <w:r w:rsidR="00E22AD5" w:rsidRPr="00CF26B8">
        <w:t xml:space="preserve">, up considerably from </w:t>
      </w:r>
      <w:r w:rsidR="00CF26B8" w:rsidRPr="00CF26B8">
        <w:rPr>
          <w:rFonts w:cs="Tahoma"/>
          <w:color w:val="000000"/>
          <w:szCs w:val="20"/>
        </w:rPr>
        <w:t>2009</w:t>
      </w:r>
      <w:r w:rsidR="00E22AD5" w:rsidRPr="00CF26B8">
        <w:t xml:space="preserve"> </w:t>
      </w:r>
      <w:r w:rsidR="00CF26B8" w:rsidRPr="00CF26B8">
        <w:rPr>
          <w:rFonts w:cs="Tahoma"/>
          <w:color w:val="000000"/>
          <w:szCs w:val="20"/>
        </w:rPr>
        <w:t>net income</w:t>
      </w:r>
      <w:r w:rsidR="00E22AD5" w:rsidRPr="00CF26B8">
        <w:t xml:space="preserve"> of $</w:t>
      </w:r>
      <w:r w:rsidR="00CF26B8" w:rsidRPr="00CF26B8">
        <w:rPr>
          <w:rFonts w:cs="Tahoma"/>
          <w:color w:val="000000"/>
          <w:szCs w:val="20"/>
        </w:rPr>
        <w:t xml:space="preserve">6,824 </w:t>
      </w:r>
      <w:r w:rsidR="00126D6E" w:rsidRPr="00CF26B8">
        <w:t>million.</w:t>
      </w:r>
    </w:p>
    <w:p w:rsidR="00762272" w:rsidRPr="0060228C" w:rsidRDefault="00762272" w:rsidP="00E230D4">
      <w:pPr>
        <w:pStyle w:val="text"/>
        <w:rPr>
          <w:sz w:val="16"/>
          <w:szCs w:val="16"/>
        </w:rPr>
      </w:pPr>
    </w:p>
    <w:p w:rsidR="003902DC" w:rsidRDefault="003902DC" w:rsidP="00E230D4">
      <w:pPr>
        <w:pStyle w:val="text"/>
      </w:pPr>
      <w:r>
        <w:t>Statement of Cash Flows:</w:t>
      </w:r>
    </w:p>
    <w:p w:rsidR="003902DC" w:rsidRPr="00314E33" w:rsidRDefault="003902DC" w:rsidP="00314E33">
      <w:pPr>
        <w:pStyle w:val="textbulletedlist"/>
      </w:pPr>
      <w:r w:rsidRPr="00314E33">
        <w:t>Operating cash flows are very healthy: $</w:t>
      </w:r>
      <w:r w:rsidR="00314E33" w:rsidRPr="00314E33">
        <w:rPr>
          <w:szCs w:val="20"/>
        </w:rPr>
        <w:t xml:space="preserve">9,532 </w:t>
      </w:r>
      <w:r w:rsidRPr="00314E33">
        <w:t xml:space="preserve">million, most of which comes from </w:t>
      </w:r>
      <w:r w:rsidR="00314E33" w:rsidRPr="00314E33">
        <w:rPr>
          <w:szCs w:val="20"/>
        </w:rPr>
        <w:t>net income</w:t>
      </w:r>
      <w:r w:rsidRPr="00314E33">
        <w:t xml:space="preserve"> plus the depreciation and amortization addback.</w:t>
      </w:r>
    </w:p>
    <w:p w:rsidR="003902DC" w:rsidRPr="00314E33" w:rsidRDefault="003902DC" w:rsidP="00314E33">
      <w:pPr>
        <w:pStyle w:val="textbulletedlist"/>
      </w:pPr>
      <w:r w:rsidRPr="00314E33">
        <w:t xml:space="preserve">Investing cash flows: </w:t>
      </w:r>
      <w:r w:rsidR="00314E33" w:rsidRPr="00314E33">
        <w:rPr>
          <w:szCs w:val="20"/>
        </w:rPr>
        <w:t xml:space="preserve">($4,405 </w:t>
      </w:r>
      <w:r w:rsidRPr="00314E33">
        <w:t>million</w:t>
      </w:r>
      <w:r w:rsidR="00314E33" w:rsidRPr="00314E33">
        <w:t>)</w:t>
      </w:r>
      <w:r w:rsidRPr="00314E33">
        <w:t>, primarily for additions to property, plant</w:t>
      </w:r>
      <w:r w:rsidR="00314E33" w:rsidRPr="00314E33">
        <w:t>,</w:t>
      </w:r>
      <w:r w:rsidRPr="00314E33">
        <w:t xml:space="preserve"> and equipment and (net) purchases of </w:t>
      </w:r>
      <w:r w:rsidR="002F3826" w:rsidRPr="00314E33">
        <w:t xml:space="preserve">other </w:t>
      </w:r>
      <w:r w:rsidRPr="00314E33">
        <w:t xml:space="preserve">investments. </w:t>
      </w:r>
    </w:p>
    <w:p w:rsidR="003902DC" w:rsidRPr="00314E33" w:rsidRDefault="003902DC" w:rsidP="00314E33">
      <w:pPr>
        <w:pStyle w:val="textbulletedlist"/>
      </w:pPr>
      <w:r w:rsidRPr="00314E33">
        <w:t xml:space="preserve">Financing cash flows: </w:t>
      </w:r>
      <w:r w:rsidR="00314E33" w:rsidRPr="00314E33">
        <w:rPr>
          <w:szCs w:val="20"/>
        </w:rPr>
        <w:t xml:space="preserve">($3,465 </w:t>
      </w:r>
      <w:r w:rsidRPr="00314E33">
        <w:t>million</w:t>
      </w:r>
      <w:r w:rsidR="00314E33" w:rsidRPr="00314E33">
        <w:t>)</w:t>
      </w:r>
      <w:r w:rsidRPr="00314E33">
        <w:t>, primarily for dividends a</w:t>
      </w:r>
      <w:r w:rsidR="00AA75BC" w:rsidRPr="00314E33">
        <w:t>nd repurchases of common stock.</w:t>
      </w:r>
    </w:p>
    <w:p w:rsidR="003902DC" w:rsidRPr="00314E33" w:rsidRDefault="003902DC" w:rsidP="00314E33">
      <w:pPr>
        <w:pStyle w:val="textbulletedlist"/>
      </w:pPr>
      <w:r w:rsidRPr="00314E33">
        <w:t xml:space="preserve">Cash balance </w:t>
      </w:r>
      <w:r w:rsidR="002F3826" w:rsidRPr="00314E33">
        <w:t>increased</w:t>
      </w:r>
      <w:r w:rsidRPr="00314E33">
        <w:t xml:space="preserve"> in </w:t>
      </w:r>
      <w:r w:rsidR="00314E33" w:rsidRPr="00314E33">
        <w:rPr>
          <w:szCs w:val="20"/>
        </w:rPr>
        <w:t>2010</w:t>
      </w:r>
      <w:r w:rsidRPr="00314E33">
        <w:t>, from $</w:t>
      </w:r>
      <w:r w:rsidR="00314E33" w:rsidRPr="00314E33">
        <w:rPr>
          <w:szCs w:val="20"/>
        </w:rPr>
        <w:t xml:space="preserve">7,021 </w:t>
      </w:r>
      <w:r w:rsidRPr="00314E33">
        <w:t>million to $</w:t>
      </w:r>
      <w:r w:rsidR="00314E33" w:rsidRPr="00314E33">
        <w:rPr>
          <w:szCs w:val="20"/>
        </w:rPr>
        <w:t>8,517</w:t>
      </w:r>
      <w:r w:rsidR="00D20BD6">
        <w:rPr>
          <w:szCs w:val="20"/>
        </w:rPr>
        <w:t xml:space="preserve"> </w:t>
      </w:r>
      <w:r w:rsidRPr="00314E33">
        <w:t>million.</w:t>
      </w:r>
    </w:p>
    <w:p w:rsidR="00762272" w:rsidRDefault="00762272" w:rsidP="00E230D4">
      <w:pPr>
        <w:pStyle w:val="text"/>
      </w:pPr>
    </w:p>
    <w:p w:rsidR="00762272" w:rsidRDefault="00762272" w:rsidP="00A85F85">
      <w:pPr>
        <w:pStyle w:val="CaseAnswerHead"/>
      </w:pPr>
      <w:r w:rsidRPr="00762272">
        <w:rPr>
          <w:u w:val="single"/>
        </w:rPr>
        <w:t>C1-</w:t>
      </w:r>
      <w:r>
        <w:rPr>
          <w:u w:val="single"/>
        </w:rPr>
        <w:t>1</w:t>
      </w:r>
      <w:r w:rsidR="009A20DC">
        <w:rPr>
          <w:u w:val="single"/>
        </w:rPr>
        <w:t>0</w:t>
      </w:r>
    </w:p>
    <w:p w:rsidR="00B53299" w:rsidRPr="00762272" w:rsidRDefault="00B53299" w:rsidP="00E230D4">
      <w:pPr>
        <w:pStyle w:val="text"/>
        <w:rPr>
          <w:rFonts w:cs="Times"/>
          <w:b/>
        </w:rPr>
      </w:pPr>
    </w:p>
    <w:p w:rsidR="00364E0D" w:rsidRDefault="00364E0D" w:rsidP="00E230D4">
      <w:pPr>
        <w:pStyle w:val="text"/>
      </w:pPr>
      <w:r>
        <w:rPr>
          <w:u w:val="single"/>
        </w:rPr>
        <w:t>Note to Instructor</w:t>
      </w:r>
      <w:r w:rsidRPr="003E65A2">
        <w:rPr>
          <w:u w:val="single"/>
        </w:rPr>
        <w:t>:</w:t>
      </w:r>
      <w:r w:rsidR="00FE0D30">
        <w:t xml:space="preserve"> </w:t>
      </w:r>
      <w:r>
        <w:t>Listed below are some possible findings that students may discuss at each step in the moral reasoning process:</w:t>
      </w:r>
    </w:p>
    <w:p w:rsidR="00364E0D" w:rsidRDefault="00364E0D" w:rsidP="00E230D4">
      <w:pPr>
        <w:pStyle w:val="text"/>
      </w:pPr>
    </w:p>
    <w:p w:rsidR="00B815BD" w:rsidRDefault="00364E0D" w:rsidP="00B815BD">
      <w:pPr>
        <w:pStyle w:val="NumList"/>
        <w:rPr>
          <w:b/>
          <w:u w:val="single"/>
        </w:rPr>
      </w:pPr>
      <w:r>
        <w:t>I.</w:t>
      </w:r>
      <w:r>
        <w:tab/>
      </w:r>
      <w:r>
        <w:rPr>
          <w:u w:val="single"/>
        </w:rPr>
        <w:t>Gather facts</w:t>
      </w:r>
      <w:r>
        <w:t>:</w:t>
      </w:r>
      <w:r w:rsidR="00FE0D30">
        <w:t xml:space="preserve"> </w:t>
      </w:r>
      <w:r>
        <w:t>(A) What has occurred?</w:t>
      </w:r>
      <w:r w:rsidR="00FE0D30">
        <w:t xml:space="preserve"> </w:t>
      </w:r>
      <w:r>
        <w:t>(1) there is only one copy of the needed book, (2) everyone in my class is required to use the book to write a report, (3) the book has been intentionally misfiled.</w:t>
      </w:r>
      <w:r w:rsidR="00FE0D30">
        <w:t xml:space="preserve"> </w:t>
      </w:r>
      <w:r>
        <w:t>(B)</w:t>
      </w:r>
      <w:r w:rsidR="003E65A2">
        <w:t xml:space="preserve"> </w:t>
      </w:r>
      <w:r>
        <w:t>Who are the stakeholders?</w:t>
      </w:r>
      <w:r w:rsidR="00FE0D30">
        <w:t xml:space="preserve"> </w:t>
      </w:r>
      <w:r>
        <w:t>(1) me, (2) classmate who has misfiled the book, (3) other member</w:t>
      </w:r>
      <w:r w:rsidR="00AB02BF">
        <w:t>s</w:t>
      </w:r>
      <w:r>
        <w:t xml:space="preserve"> of the class, (4) the professor, (5) other students wanting to use the book, (6) library staff.</w:t>
      </w:r>
      <w:r w:rsidR="00FE0D30">
        <w:t xml:space="preserve"> </w:t>
      </w:r>
      <w:r>
        <w:t>(C) What are my responsibilities?</w:t>
      </w:r>
      <w:r w:rsidR="00FE0D30">
        <w:t xml:space="preserve"> </w:t>
      </w:r>
      <w:r>
        <w:t xml:space="preserve">(1) to write a report (2) to be socially responsible. </w:t>
      </w:r>
      <w:r w:rsidR="00AB02BF">
        <w:t xml:space="preserve">(D) How will my actions affect the stakeholders? My actions will affect the stakeholders who need to use the book, the professor who gave the assignment, the library staff, and the student who </w:t>
      </w:r>
      <w:r w:rsidR="00877D51">
        <w:t>“</w:t>
      </w:r>
      <w:r w:rsidR="00AB02BF">
        <w:t>misfiled</w:t>
      </w:r>
      <w:r w:rsidR="00877D51">
        <w:t>”</w:t>
      </w:r>
      <w:r w:rsidR="00AB02BF">
        <w:t xml:space="preserve"> the book. If I report the misfiling, my actions will likely help the other students and I prepare the assignment, will</w:t>
      </w:r>
      <w:r w:rsidR="00BF78F2">
        <w:t xml:space="preserve"> </w:t>
      </w:r>
      <w:r w:rsidR="00AB02BF">
        <w:t>help the professor and the library staff, and will likely incur negative consequences for the person who misfiled the book.</w:t>
      </w:r>
      <w:r w:rsidR="00B815BD">
        <w:rPr>
          <w:u w:val="single"/>
        </w:rPr>
        <w:br w:type="page"/>
      </w:r>
    </w:p>
    <w:p w:rsidR="00B815BD" w:rsidRDefault="00B815BD" w:rsidP="00B815BD">
      <w:pPr>
        <w:pStyle w:val="CaseAnswerHead"/>
      </w:pPr>
      <w:r w:rsidRPr="00762272">
        <w:rPr>
          <w:u w:val="single"/>
        </w:rPr>
        <w:lastRenderedPageBreak/>
        <w:t>C1-</w:t>
      </w:r>
      <w:r>
        <w:rPr>
          <w:u w:val="single"/>
        </w:rPr>
        <w:t>10</w:t>
      </w:r>
      <w:r w:rsidRPr="00B815BD">
        <w:tab/>
        <w:t>(concluded)</w:t>
      </w:r>
    </w:p>
    <w:p w:rsidR="00364E0D" w:rsidRDefault="00364E0D" w:rsidP="00B53299">
      <w:pPr>
        <w:pStyle w:val="NumList"/>
      </w:pPr>
    </w:p>
    <w:p w:rsidR="00364E0D" w:rsidRPr="00F30DDD" w:rsidRDefault="00364E0D" w:rsidP="00F30DDD">
      <w:pPr>
        <w:pStyle w:val="NumList"/>
      </w:pPr>
      <w:r w:rsidRPr="00F30DDD">
        <w:t>II.</w:t>
      </w:r>
      <w:r w:rsidRPr="00F30DDD">
        <w:tab/>
      </w:r>
      <w:r w:rsidRPr="00CA4716">
        <w:rPr>
          <w:u w:val="single"/>
        </w:rPr>
        <w:t>Ask whether the action (my classmate misfiling the book) is acceptable according to ethical criteria</w:t>
      </w:r>
      <w:r w:rsidRPr="00CA4716">
        <w:t>:</w:t>
      </w:r>
      <w:r w:rsidR="00FE0D30" w:rsidRPr="00F30DDD">
        <w:t xml:space="preserve"> </w:t>
      </w:r>
      <w:r w:rsidRPr="00F30DDD">
        <w:t xml:space="preserve">(A) </w:t>
      </w:r>
      <w:r w:rsidR="00F30DDD" w:rsidRPr="00F30DDD">
        <w:rPr>
          <w:szCs w:val="20"/>
        </w:rPr>
        <w:t xml:space="preserve">How does the action affect </w:t>
      </w:r>
      <w:r w:rsidRPr="00F30DDD">
        <w:t>stakeholders?</w:t>
      </w:r>
      <w:r w:rsidR="00FE0D30" w:rsidRPr="00F30DDD">
        <w:t xml:space="preserve"> </w:t>
      </w:r>
      <w:r w:rsidRPr="00F30DDD">
        <w:t>(1) the classmate who misfiled the book can satisfactorily use the book without having to wait his turn, (2) I am unable to use the book to finish my report, (3)</w:t>
      </w:r>
      <w:r w:rsidR="00B53299" w:rsidRPr="00F30DDD">
        <w:t xml:space="preserve"> </w:t>
      </w:r>
      <w:r w:rsidRPr="00F30DDD">
        <w:t>the rest of the class cannot use the book to finish their reports, (4)</w:t>
      </w:r>
      <w:r w:rsidR="00B53299" w:rsidRPr="00F30DDD">
        <w:t xml:space="preserve"> </w:t>
      </w:r>
      <w:r w:rsidRPr="00F30DDD">
        <w:t>the professor cannot collect the assignment on the regularly scheduled due date, (5) others wanting to use the book cannot find it, (6)</w:t>
      </w:r>
      <w:r w:rsidR="00F30DDD" w:rsidRPr="00F30DDD">
        <w:t xml:space="preserve"> </w:t>
      </w:r>
      <w:r w:rsidRPr="00F30DDD">
        <w:t>library staff will be forced to search for the book.</w:t>
      </w:r>
      <w:r w:rsidR="00FE0D30" w:rsidRPr="00F30DDD">
        <w:t xml:space="preserve"> </w:t>
      </w:r>
      <w:r w:rsidRPr="00F30DDD">
        <w:t>(B)</w:t>
      </w:r>
      <w:r w:rsidR="00B53299" w:rsidRPr="00F30DDD">
        <w:t xml:space="preserve"> </w:t>
      </w:r>
      <w:r w:rsidRPr="00F30DDD">
        <w:t>Does the action respect the rights of all</w:t>
      </w:r>
      <w:r w:rsidR="00F30DDD" w:rsidRPr="00F30DDD">
        <w:rPr>
          <w:szCs w:val="20"/>
        </w:rPr>
        <w:t xml:space="preserve"> stakeholders</w:t>
      </w:r>
      <w:r w:rsidRPr="00F30DDD">
        <w:t>?</w:t>
      </w:r>
      <w:r w:rsidR="00FE0D30" w:rsidRPr="00F30DDD">
        <w:t xml:space="preserve"> </w:t>
      </w:r>
      <w:r w:rsidRPr="00F30DDD">
        <w:t>(1) the classmate who misfiled the book has the right to use the book, (2) other members of the class as well as other students have the right to use the book, but cannot if it is misfiled, (3) the professor cannot exercise his/her right to set due dates and expect them to be adhered to, (4)</w:t>
      </w:r>
      <w:r w:rsidR="00B53299" w:rsidRPr="00F30DDD">
        <w:t xml:space="preserve"> </w:t>
      </w:r>
      <w:r w:rsidRPr="00F30DDD">
        <w:t>the library staff cannot effectively and efficiently perform its job.</w:t>
      </w:r>
      <w:r w:rsidR="00FE0D30" w:rsidRPr="00F30DDD">
        <w:t xml:space="preserve"> </w:t>
      </w:r>
      <w:r w:rsidRPr="00F30DDD">
        <w:t>(C)</w:t>
      </w:r>
      <w:r w:rsidR="00B53299" w:rsidRPr="00F30DDD">
        <w:t xml:space="preserve"> </w:t>
      </w:r>
      <w:r w:rsidRPr="00F30DDD">
        <w:t>Is the act fair and just?</w:t>
      </w:r>
      <w:r w:rsidR="00FE0D30" w:rsidRPr="00F30DDD">
        <w:t xml:space="preserve"> </w:t>
      </w:r>
      <w:r w:rsidRPr="00F30DDD">
        <w:t>(1) purposely preventing others from completing an assignment is not fair, (2) making it difficult for others to find a book is not just, (3) inhibiting the library staff</w:t>
      </w:r>
      <w:r w:rsidR="0077707C" w:rsidRPr="00F30DDD">
        <w:t>’</w:t>
      </w:r>
      <w:r w:rsidRPr="00F30DDD">
        <w:t>s ability to perform its job is not fair, (4) forcing the professor to accept late reports is not just.</w:t>
      </w:r>
    </w:p>
    <w:p w:rsidR="00364E0D" w:rsidRPr="00F30DDD" w:rsidRDefault="00364E0D" w:rsidP="00F30DDD">
      <w:pPr>
        <w:pStyle w:val="NumList"/>
      </w:pPr>
    </w:p>
    <w:p w:rsidR="00364E0D" w:rsidRDefault="00364E0D" w:rsidP="00B53299">
      <w:pPr>
        <w:pStyle w:val="NumList"/>
      </w:pPr>
      <w:r>
        <w:t>III.</w:t>
      </w:r>
      <w:r>
        <w:tab/>
      </w:r>
      <w:r>
        <w:rPr>
          <w:u w:val="single"/>
        </w:rPr>
        <w:t xml:space="preserve">Consider whether there are any overwhelming factors </w:t>
      </w:r>
      <w:r w:rsidR="00450B19">
        <w:rPr>
          <w:u w:val="single"/>
        </w:rPr>
        <w:t>that may justify disregarding any of the ethical criteria</w:t>
      </w:r>
      <w:r>
        <w:t>:</w:t>
      </w:r>
      <w:r w:rsidR="00FE0D30">
        <w:t xml:space="preserve"> </w:t>
      </w:r>
      <w:r>
        <w:t>In this situation, there do not appear to be overwhelming factors but students may bring up issues like:</w:t>
      </w:r>
      <w:r w:rsidR="00FE0D30">
        <w:t xml:space="preserve"> </w:t>
      </w:r>
      <w:r>
        <w:t>(1) classmate has full-time job, (2) classmate is disabled, (3) classmate has family (or other) obligations, (4) library has limited hours.</w:t>
      </w:r>
    </w:p>
    <w:p w:rsidR="00364E0D" w:rsidRDefault="00364E0D" w:rsidP="00B53299">
      <w:pPr>
        <w:pStyle w:val="NumList"/>
      </w:pPr>
    </w:p>
    <w:p w:rsidR="00364E0D" w:rsidRDefault="00364E0D" w:rsidP="00B53299">
      <w:pPr>
        <w:pStyle w:val="NumList"/>
      </w:pPr>
      <w:r>
        <w:t>IV.</w:t>
      </w:r>
      <w:r>
        <w:tab/>
      </w:r>
      <w:r>
        <w:rPr>
          <w:u w:val="single"/>
        </w:rPr>
        <w:t>Decide what ethical action to take</w:t>
      </w:r>
      <w:r>
        <w:t>:</w:t>
      </w:r>
      <w:r w:rsidR="00FE0D30">
        <w:t xml:space="preserve"> </w:t>
      </w:r>
      <w:r>
        <w:t>Students may decide on a number of alternative courses of action, including:</w:t>
      </w:r>
      <w:r w:rsidR="00FE0D30">
        <w:t xml:space="preserve"> </w:t>
      </w:r>
      <w:r>
        <w:t>(1) doing nothing, (2) discussing with classmate, (3) discussing with other students to exert pressure on classmate to refile book, (4) reporting to professor (in person or anonymously).</w:t>
      </w:r>
    </w:p>
    <w:p w:rsidR="00DB2E5D" w:rsidRDefault="00DB2E5D">
      <w:pPr>
        <w:widowControl/>
        <w:autoSpaceDE/>
        <w:autoSpaceDN/>
        <w:adjustRightInd/>
        <w:rPr>
          <w:rFonts w:cs="Arial"/>
          <w:b/>
          <w:szCs w:val="22"/>
          <w:u w:val="single"/>
        </w:rPr>
      </w:pPr>
    </w:p>
    <w:p w:rsidR="00762272" w:rsidRDefault="00762272" w:rsidP="00A85F85">
      <w:pPr>
        <w:pStyle w:val="CaseAnswerHead"/>
      </w:pPr>
      <w:r w:rsidRPr="00762272">
        <w:rPr>
          <w:u w:val="single"/>
        </w:rPr>
        <w:t>C1-</w:t>
      </w:r>
      <w:r>
        <w:rPr>
          <w:u w:val="single"/>
        </w:rPr>
        <w:t>1</w:t>
      </w:r>
      <w:r w:rsidR="009A20DC">
        <w:rPr>
          <w:u w:val="single"/>
        </w:rPr>
        <w:t>1</w:t>
      </w:r>
    </w:p>
    <w:p w:rsidR="00B53299" w:rsidRPr="00762272" w:rsidRDefault="00B53299" w:rsidP="00E230D4">
      <w:pPr>
        <w:pStyle w:val="text"/>
        <w:rPr>
          <w:rFonts w:cs="Times"/>
          <w:b/>
        </w:rPr>
      </w:pPr>
    </w:p>
    <w:p w:rsidR="00364E0D" w:rsidRDefault="00364E0D" w:rsidP="00E230D4">
      <w:pPr>
        <w:pStyle w:val="text"/>
      </w:pPr>
      <w:r>
        <w:rPr>
          <w:u w:val="single"/>
        </w:rPr>
        <w:t>Note to Instructor</w:t>
      </w:r>
      <w:r w:rsidRPr="00164E49">
        <w:rPr>
          <w:u w:val="single"/>
        </w:rPr>
        <w:t>:</w:t>
      </w:r>
      <w:r w:rsidR="00FE0D30">
        <w:t xml:space="preserve"> </w:t>
      </w:r>
      <w:r>
        <w:t>Listed below are some possible findings that students may discuss at each step in the moral reasoning process:</w:t>
      </w:r>
    </w:p>
    <w:p w:rsidR="00364E0D" w:rsidRDefault="00364E0D" w:rsidP="00E230D4">
      <w:pPr>
        <w:pStyle w:val="text"/>
      </w:pPr>
    </w:p>
    <w:p w:rsidR="00364E0D" w:rsidRDefault="00B53299" w:rsidP="00B53299">
      <w:pPr>
        <w:pStyle w:val="NumList"/>
      </w:pPr>
      <w:r w:rsidRPr="00B53299">
        <w:t>I.</w:t>
      </w:r>
      <w:r w:rsidRPr="00B53299">
        <w:tab/>
      </w:r>
      <w:r w:rsidR="00364E0D">
        <w:rPr>
          <w:u w:val="single"/>
        </w:rPr>
        <w:t>Gather facts</w:t>
      </w:r>
      <w:r w:rsidR="00364E0D">
        <w:t>:</w:t>
      </w:r>
      <w:r w:rsidR="00FE0D30">
        <w:t xml:space="preserve"> </w:t>
      </w:r>
      <w:r w:rsidR="00364E0D">
        <w:t>(A) What has occurred?</w:t>
      </w:r>
      <w:r w:rsidR="00FE0D30">
        <w:t xml:space="preserve"> </w:t>
      </w:r>
      <w:r w:rsidR="00364E0D">
        <w:t>(1) my friend copied an answer, (2)</w:t>
      </w:r>
      <w:r>
        <w:t xml:space="preserve"> </w:t>
      </w:r>
      <w:r w:rsidR="00364E0D">
        <w:t>she received an A on the test, (3) I received a B on the test, (4)</w:t>
      </w:r>
      <w:r w:rsidR="00164E49">
        <w:t xml:space="preserve"> </w:t>
      </w:r>
      <w:r w:rsidR="00364E0D">
        <w:t>our professor is unaware that she cheated, (5) I am aware that she cheated.</w:t>
      </w:r>
      <w:r w:rsidR="00FE0D30">
        <w:t xml:space="preserve"> </w:t>
      </w:r>
      <w:r w:rsidR="00364E0D">
        <w:t>(B) Who are the stakeholders:</w:t>
      </w:r>
      <w:r w:rsidR="00FE0D30">
        <w:t xml:space="preserve"> </w:t>
      </w:r>
      <w:r w:rsidR="00364E0D">
        <w:t>(1) my friend who cheated, (2)</w:t>
      </w:r>
      <w:r w:rsidR="00164E49">
        <w:t xml:space="preserve"> </w:t>
      </w:r>
      <w:r w:rsidR="00364E0D">
        <w:t>me, (3) student from whom my friend copied the answer, (4)</w:t>
      </w:r>
      <w:r w:rsidR="00164E49">
        <w:t xml:space="preserve"> </w:t>
      </w:r>
      <w:r w:rsidR="00364E0D">
        <w:t>our professor, (5) other members of the class, (6) all students in other sections of the same course, (7) all accounting students at my school who have taken the same class, (8) all students who will be competing with my friend for jobs, (9) all accountants, (10) company that hires her.</w:t>
      </w:r>
      <w:r w:rsidR="00FE0D30">
        <w:t xml:space="preserve"> </w:t>
      </w:r>
      <w:r w:rsidR="00450B19">
        <w:t>(C) What are my responsibilities? (1) to take the examination honestly (2) to be socially responsible. (D) How will my actions affect the stakeholders? My actions will affect the stakeholders involved with the exam: the professor who gave the exam, the students who took the exam and did not cheat, including me, the student who cheated on the exam; and the other stakeholders who evaluated (and hire) students based on their academic performance, including results on exams. If I report the cheating, my actions will likely help the professor, the other students and I to be evaluated fairly on this exam, and will likely incur negative consequences for the person who cheated.</w:t>
      </w:r>
    </w:p>
    <w:p w:rsidR="00E80AA8" w:rsidRDefault="00E80AA8">
      <w:pPr>
        <w:widowControl/>
        <w:autoSpaceDE/>
        <w:autoSpaceDN/>
        <w:adjustRightInd/>
        <w:rPr>
          <w:rFonts w:cs="Arial"/>
          <w:b/>
          <w:szCs w:val="22"/>
          <w:u w:val="single"/>
        </w:rPr>
      </w:pPr>
      <w:r>
        <w:rPr>
          <w:u w:val="single"/>
        </w:rPr>
        <w:br w:type="page"/>
      </w:r>
    </w:p>
    <w:p w:rsidR="00E80AA8" w:rsidRDefault="00E80AA8" w:rsidP="00E80AA8">
      <w:pPr>
        <w:pStyle w:val="CaseAnswerHead"/>
      </w:pPr>
      <w:r w:rsidRPr="00762272">
        <w:rPr>
          <w:u w:val="single"/>
        </w:rPr>
        <w:lastRenderedPageBreak/>
        <w:t>C1-</w:t>
      </w:r>
      <w:r>
        <w:rPr>
          <w:u w:val="single"/>
        </w:rPr>
        <w:t>11</w:t>
      </w:r>
      <w:r>
        <w:tab/>
        <w:t>(concluded)</w:t>
      </w:r>
    </w:p>
    <w:p w:rsidR="00E80AA8" w:rsidRPr="0027430D" w:rsidRDefault="00E80AA8" w:rsidP="00E80AA8">
      <w:pPr>
        <w:pStyle w:val="text"/>
        <w:rPr>
          <w:rFonts w:cs="Times"/>
          <w:b/>
          <w:sz w:val="16"/>
          <w:szCs w:val="16"/>
        </w:rPr>
      </w:pPr>
    </w:p>
    <w:p w:rsidR="00364E0D" w:rsidRPr="00C012E9" w:rsidRDefault="00364E0D" w:rsidP="00C012E9">
      <w:pPr>
        <w:pStyle w:val="NumList"/>
      </w:pPr>
      <w:r w:rsidRPr="00C012E9">
        <w:t>II.</w:t>
      </w:r>
      <w:r w:rsidRPr="00C012E9">
        <w:tab/>
      </w:r>
      <w:r w:rsidRPr="00C012E9">
        <w:rPr>
          <w:u w:val="single"/>
        </w:rPr>
        <w:t>Ask whether the action (my friend</w:t>
      </w:r>
      <w:r w:rsidR="0077707C" w:rsidRPr="00C012E9">
        <w:rPr>
          <w:u w:val="single"/>
        </w:rPr>
        <w:t>’</w:t>
      </w:r>
      <w:r w:rsidRPr="00C012E9">
        <w:rPr>
          <w:u w:val="single"/>
        </w:rPr>
        <w:t>s cheating) is acceptable according to ethical criteria</w:t>
      </w:r>
      <w:r w:rsidRPr="00C012E9">
        <w:t>:</w:t>
      </w:r>
      <w:r w:rsidR="00FE0D30" w:rsidRPr="00C012E9">
        <w:t xml:space="preserve"> </w:t>
      </w:r>
      <w:r w:rsidRPr="00C012E9">
        <w:t xml:space="preserve">(A) </w:t>
      </w:r>
      <w:r w:rsidR="000E67CA" w:rsidRPr="00C012E9">
        <w:rPr>
          <w:rFonts w:cs="Tahoma"/>
          <w:color w:val="000000"/>
          <w:szCs w:val="20"/>
        </w:rPr>
        <w:t xml:space="preserve">How does the action affect </w:t>
      </w:r>
      <w:r w:rsidRPr="00C012E9">
        <w:t>all stakeholders?</w:t>
      </w:r>
      <w:r w:rsidR="00FE0D30" w:rsidRPr="00C012E9">
        <w:t xml:space="preserve"> </w:t>
      </w:r>
      <w:r w:rsidRPr="00C012E9">
        <w:t>(1) her copying led to a short-term satisfaction in the form of an A.</w:t>
      </w:r>
      <w:r w:rsidR="00FE0D30" w:rsidRPr="00C012E9">
        <w:t xml:space="preserve"> </w:t>
      </w:r>
      <w:r w:rsidRPr="00C012E9">
        <w:t>However, in the long-run, this A may prove to be harmful to her if she views the A as a reward for cheating and continues to cheat in the future, (2) my receipt of a lower grade puts her at an unfair advantage over me, (3) others in the class who received the same grade as her had to rely on their own effort and intelligence, whereas she was rewarded with the same grade for relying on someone else</w:t>
      </w:r>
      <w:r w:rsidR="0077707C" w:rsidRPr="00C012E9">
        <w:t>’</w:t>
      </w:r>
      <w:r w:rsidRPr="00C012E9">
        <w:t>s work, (4) others in the class who received a lower grade than her are at a disadvantage to her even though they may be equally intelligent, (5) because recruiters compare the grades of all their applicants, she will appear more qualified because her A will cause her GPA to increase, (6) the professor may be placed in a position of giving her a higher recommendation than warranted, (7) her future employer may be depending on higher qualifications than she has.</w:t>
      </w:r>
      <w:r w:rsidR="00FE0D30" w:rsidRPr="00C012E9">
        <w:t xml:space="preserve"> </w:t>
      </w:r>
      <w:r w:rsidRPr="00C012E9">
        <w:t>(B)</w:t>
      </w:r>
      <w:r w:rsidR="00FE0D30" w:rsidRPr="00C012E9">
        <w:t xml:space="preserve"> </w:t>
      </w:r>
      <w:r w:rsidRPr="00C012E9">
        <w:t>Does the action respect the rights of all</w:t>
      </w:r>
      <w:r w:rsidR="000E67CA" w:rsidRPr="00C012E9">
        <w:rPr>
          <w:rFonts w:cs="Tahoma"/>
          <w:color w:val="000000"/>
          <w:szCs w:val="20"/>
        </w:rPr>
        <w:t xml:space="preserve"> stakeholders</w:t>
      </w:r>
      <w:r w:rsidRPr="00C012E9">
        <w:t>?</w:t>
      </w:r>
      <w:r w:rsidR="00FE0D30" w:rsidRPr="00C012E9">
        <w:t xml:space="preserve"> </w:t>
      </w:r>
      <w:r w:rsidRPr="00C012E9">
        <w:t>(1) my friend forfeited her right to a good grade by cheating, (2) others in the class had their rights violated because they can no longer compete fairly, (3) the professor can no longer exercise his/her right to distribute grades fairly, (4) recruiters cannot exercise their right to use GPA as a quantitatively reliable guide for selecting employees.</w:t>
      </w:r>
      <w:r w:rsidR="00FE0D30" w:rsidRPr="00C012E9">
        <w:t xml:space="preserve"> </w:t>
      </w:r>
      <w:r w:rsidRPr="00C012E9">
        <w:t>(C)</w:t>
      </w:r>
      <w:r w:rsidR="00B53299" w:rsidRPr="00C012E9">
        <w:t xml:space="preserve"> </w:t>
      </w:r>
      <w:r w:rsidRPr="00C012E9">
        <w:t>Is the act fair and just?</w:t>
      </w:r>
      <w:r w:rsidR="00FE0D30" w:rsidRPr="00C012E9">
        <w:t xml:space="preserve"> </w:t>
      </w:r>
      <w:r w:rsidRPr="00C012E9">
        <w:t>(1) cheating is not generally accepted as being fair, (2) receiving a better grade through deceit is not just, (3) having an advantage in recruiting due to dishonesty is not fair.</w:t>
      </w:r>
    </w:p>
    <w:p w:rsidR="00364E0D" w:rsidRPr="0027430D" w:rsidRDefault="00364E0D" w:rsidP="00C012E9">
      <w:pPr>
        <w:pStyle w:val="NumList"/>
        <w:rPr>
          <w:sz w:val="16"/>
          <w:szCs w:val="16"/>
        </w:rPr>
      </w:pPr>
    </w:p>
    <w:p w:rsidR="00364E0D" w:rsidRDefault="00364E0D" w:rsidP="00B53299">
      <w:pPr>
        <w:pStyle w:val="NumList"/>
      </w:pPr>
      <w:r>
        <w:t>III.</w:t>
      </w:r>
      <w:r>
        <w:tab/>
      </w:r>
      <w:r w:rsidR="00F132D7">
        <w:rPr>
          <w:u w:val="single"/>
        </w:rPr>
        <w:t>Consider whether there are any overwhelming factors that may justify disregarding any of the ethical criteria</w:t>
      </w:r>
      <w:r w:rsidR="00F132D7">
        <w:t>:</w:t>
      </w:r>
      <w:r w:rsidR="00FE0D30">
        <w:t xml:space="preserve"> </w:t>
      </w:r>
      <w:r>
        <w:t>In this situation, there do not appear to be overwhelming factors but students may bring up issues like:</w:t>
      </w:r>
      <w:r w:rsidR="00FE0D30">
        <w:t xml:space="preserve"> </w:t>
      </w:r>
      <w:r>
        <w:t>(1) friend has full-time job, (2)</w:t>
      </w:r>
      <w:r w:rsidR="00B53299">
        <w:t xml:space="preserve"> </w:t>
      </w:r>
      <w:r>
        <w:t>friend is disabled, (3) friend has family (or other) obligations, (4) friend was sick before class, (5) friend was an athlete.</w:t>
      </w:r>
    </w:p>
    <w:p w:rsidR="00364E0D" w:rsidRPr="0027430D" w:rsidRDefault="00364E0D" w:rsidP="00B53299">
      <w:pPr>
        <w:pStyle w:val="NumList"/>
        <w:rPr>
          <w:sz w:val="16"/>
          <w:szCs w:val="16"/>
        </w:rPr>
      </w:pPr>
    </w:p>
    <w:p w:rsidR="00364E0D" w:rsidRDefault="00364E0D" w:rsidP="00B53299">
      <w:pPr>
        <w:pStyle w:val="NumList"/>
      </w:pPr>
      <w:r>
        <w:t>IV.</w:t>
      </w:r>
      <w:r>
        <w:tab/>
      </w:r>
      <w:r>
        <w:rPr>
          <w:u w:val="single"/>
        </w:rPr>
        <w:t>Decide what ethical action to take</w:t>
      </w:r>
      <w:r>
        <w:t>:</w:t>
      </w:r>
      <w:r w:rsidR="00FE0D30">
        <w:t xml:space="preserve"> </w:t>
      </w:r>
      <w:r>
        <w:t>Students may decide on a number of alternative courses of action, including:</w:t>
      </w:r>
      <w:r w:rsidR="00FE0D30">
        <w:t xml:space="preserve"> </w:t>
      </w:r>
      <w:r>
        <w:t>(1) doing nothing, (2)</w:t>
      </w:r>
      <w:r w:rsidR="00B53299">
        <w:t xml:space="preserve"> </w:t>
      </w:r>
      <w:r>
        <w:t>discussing with friend, (3) discussing with student from whom friend copied (or other students) to exert pressure on friend to confess action to professor, (4) reporting to professor (in person or anonymously).</w:t>
      </w:r>
    </w:p>
    <w:p w:rsidR="00762272" w:rsidRDefault="00762272" w:rsidP="00E230D4">
      <w:pPr>
        <w:pStyle w:val="text"/>
      </w:pPr>
    </w:p>
    <w:p w:rsidR="00B815BD" w:rsidRDefault="00B815BD" w:rsidP="00E230D4">
      <w:pPr>
        <w:pStyle w:val="text"/>
      </w:pPr>
    </w:p>
    <w:p w:rsidR="00B815BD" w:rsidRPr="00845F85" w:rsidRDefault="00B815BD" w:rsidP="00B815BD">
      <w:pPr>
        <w:pStyle w:val="SubHeading"/>
      </w:pPr>
      <w:r w:rsidRPr="00845F85">
        <w:t>ANSWERS TO USING CODIFICATION</w:t>
      </w:r>
    </w:p>
    <w:p w:rsidR="00B815BD" w:rsidRPr="00845F85" w:rsidRDefault="00B815BD" w:rsidP="00B815BD">
      <w:pPr>
        <w:pStyle w:val="text"/>
      </w:pPr>
    </w:p>
    <w:p w:rsidR="00762272" w:rsidRPr="00A85F85" w:rsidRDefault="00762272" w:rsidP="009A3AB0">
      <w:pPr>
        <w:pStyle w:val="text"/>
        <w:rPr>
          <w:b/>
          <w:u w:val="single"/>
        </w:rPr>
      </w:pPr>
      <w:r w:rsidRPr="00A85F85">
        <w:rPr>
          <w:b/>
          <w:u w:val="single"/>
        </w:rPr>
        <w:t>C1-</w:t>
      </w:r>
      <w:r w:rsidR="00B3255F" w:rsidRPr="00A85F85">
        <w:rPr>
          <w:b/>
          <w:u w:val="single"/>
        </w:rPr>
        <w:t>1</w:t>
      </w:r>
      <w:r w:rsidR="00742904">
        <w:rPr>
          <w:b/>
          <w:u w:val="single"/>
        </w:rPr>
        <w:t>2</w:t>
      </w:r>
    </w:p>
    <w:p w:rsidR="00B53299" w:rsidRPr="00C012E9" w:rsidRDefault="00B53299" w:rsidP="009A3AB0">
      <w:pPr>
        <w:pStyle w:val="text"/>
      </w:pPr>
    </w:p>
    <w:p w:rsidR="009C0C56" w:rsidRDefault="00732D1D" w:rsidP="00C012E9">
      <w:pPr>
        <w:pStyle w:val="text"/>
      </w:pPr>
      <w:r w:rsidRPr="00C012E9">
        <w:rPr>
          <w:rFonts w:cs="Tahoma"/>
          <w:color w:val="000000"/>
          <w:szCs w:val="20"/>
          <w:u w:val="single"/>
        </w:rPr>
        <w:t>Note to Instructor:</w:t>
      </w:r>
      <w:r w:rsidRPr="00C012E9">
        <w:rPr>
          <w:rFonts w:cs="Tahoma"/>
          <w:color w:val="000000"/>
          <w:szCs w:val="20"/>
        </w:rPr>
        <w:t xml:space="preserve"> Students are expected to cite references to GAAP in their research of this issue. While they might use various sources to conduct their research, the</w:t>
      </w:r>
      <w:r w:rsidRPr="00C012E9">
        <w:rPr>
          <w:rFonts w:cs="Tahoma"/>
          <w:i/>
          <w:iCs/>
          <w:color w:val="000000"/>
          <w:szCs w:val="20"/>
        </w:rPr>
        <w:t xml:space="preserve"> FASB Accounting Standards Codification</w:t>
      </w:r>
      <w:r w:rsidR="00845F85">
        <w:rPr>
          <w:rFonts w:cs="Tahoma"/>
          <w:i/>
          <w:iCs/>
          <w:color w:val="000000"/>
          <w:szCs w:val="20"/>
        </w:rPr>
        <w:t>,</w:t>
      </w:r>
      <w:r w:rsidRPr="00C012E9">
        <w:rPr>
          <w:rFonts w:cs="Tahoma"/>
          <w:color w:val="000000"/>
          <w:szCs w:val="20"/>
        </w:rPr>
        <w:t xml:space="preserve"> </w:t>
      </w:r>
      <w:r w:rsidR="00B815BD">
        <w:rPr>
          <w:rFonts w:cs="Tahoma"/>
          <w:color w:val="000000"/>
          <w:szCs w:val="20"/>
        </w:rPr>
        <w:t xml:space="preserve">which </w:t>
      </w:r>
      <w:r w:rsidRPr="00C012E9">
        <w:rPr>
          <w:rFonts w:cs="Tahoma"/>
          <w:color w:val="000000"/>
          <w:szCs w:val="20"/>
        </w:rPr>
        <w:t>is the primary source of GAAP</w:t>
      </w:r>
      <w:r w:rsidR="00B815BD">
        <w:t>, is cited.</w:t>
      </w:r>
    </w:p>
    <w:p w:rsidR="009C0C56" w:rsidRDefault="009C0C56" w:rsidP="00C012E9">
      <w:pPr>
        <w:pStyle w:val="text"/>
      </w:pPr>
    </w:p>
    <w:p w:rsidR="009A3AB0" w:rsidRPr="0027430D" w:rsidRDefault="00255EDC" w:rsidP="0027430D">
      <w:pPr>
        <w:pStyle w:val="text"/>
      </w:pPr>
      <w:r w:rsidRPr="00C012E9">
        <w:t xml:space="preserve">The </w:t>
      </w:r>
      <w:r w:rsidRPr="00C012E9">
        <w:rPr>
          <w:i/>
        </w:rPr>
        <w:t>FASB Accounting Standards Codification</w:t>
      </w:r>
      <w:r w:rsidRPr="00C012E9">
        <w:t xml:space="preserve"> is an electronic database that integrates and topically organizes the U.S. accounting standards (GAAP). The Codification is important because it is the </w:t>
      </w:r>
      <w:r w:rsidRPr="00C012E9">
        <w:rPr>
          <w:i/>
        </w:rPr>
        <w:t>only</w:t>
      </w:r>
      <w:r w:rsidRPr="00C012E9">
        <w:t xml:space="preserve"> source of authoritative U.S. GAAP for companies to determine how to record their transactions, events, or circumstances, and how to report the results in their financial statements. (An exception to this statement are the rules and interpretive releases of the SEC which are sources of authoritative GAAP for publicly</w:t>
      </w:r>
      <w:r w:rsidR="009A3AB0">
        <w:t xml:space="preserve"> </w:t>
      </w:r>
      <w:r w:rsidRPr="00C012E9">
        <w:t>traded companies that are required to file their financial statements with the SEC. For convenience, the Codification includes selected portions of GAAP issued by the SEC for publicly</w:t>
      </w:r>
      <w:r w:rsidR="009A3AB0">
        <w:t xml:space="preserve"> </w:t>
      </w:r>
      <w:r w:rsidRPr="00C012E9">
        <w:t>traded companies. The Codification, however, does not contain all of the SEC</w:t>
      </w:r>
      <w:r w:rsidR="0077707C" w:rsidRPr="00C012E9">
        <w:t>’</w:t>
      </w:r>
      <w:r w:rsidRPr="00C012E9">
        <w:t>s rules and regulations that constitute GAAP.)</w:t>
      </w:r>
      <w:r w:rsidR="009A3AB0" w:rsidRPr="0027430D">
        <w:br w:type="page"/>
      </w:r>
    </w:p>
    <w:p w:rsidR="009A3AB0" w:rsidRPr="00A85F85" w:rsidRDefault="009A3AB0" w:rsidP="009A3AB0">
      <w:pPr>
        <w:pStyle w:val="text"/>
        <w:rPr>
          <w:b/>
          <w:u w:val="single"/>
        </w:rPr>
      </w:pPr>
      <w:r w:rsidRPr="00A85F85">
        <w:rPr>
          <w:b/>
          <w:u w:val="single"/>
        </w:rPr>
        <w:lastRenderedPageBreak/>
        <w:t>C1-1</w:t>
      </w:r>
      <w:r>
        <w:rPr>
          <w:b/>
          <w:u w:val="single"/>
        </w:rPr>
        <w:t>2</w:t>
      </w:r>
      <w:r w:rsidRPr="00875828">
        <w:rPr>
          <w:b/>
        </w:rPr>
        <w:t xml:space="preserve"> (con</w:t>
      </w:r>
      <w:r>
        <w:rPr>
          <w:b/>
        </w:rPr>
        <w:t>cl</w:t>
      </w:r>
      <w:r w:rsidRPr="00875828">
        <w:rPr>
          <w:b/>
        </w:rPr>
        <w:t>u</w:t>
      </w:r>
      <w:r>
        <w:rPr>
          <w:b/>
        </w:rPr>
        <w:t>d</w:t>
      </w:r>
      <w:r w:rsidRPr="00875828">
        <w:rPr>
          <w:b/>
        </w:rPr>
        <w:t>ed)</w:t>
      </w:r>
    </w:p>
    <w:p w:rsidR="009A3AB0" w:rsidRPr="00B53299" w:rsidRDefault="009A3AB0" w:rsidP="009A3AB0">
      <w:pPr>
        <w:pStyle w:val="text"/>
        <w:rPr>
          <w:rFonts w:cs="Times"/>
        </w:rPr>
      </w:pPr>
    </w:p>
    <w:p w:rsidR="00732D1D" w:rsidRPr="00F82EDD" w:rsidRDefault="00255EDC" w:rsidP="00875828">
      <w:pPr>
        <w:pStyle w:val="text"/>
      </w:pPr>
      <w:r w:rsidRPr="00C16A9F">
        <w:t xml:space="preserve">The Codification is located at </w:t>
      </w:r>
      <w:hyperlink r:id="rId9" w:history="1">
        <w:r w:rsidRPr="00C16A9F">
          <w:rPr>
            <w:rStyle w:val="Hyperlink"/>
            <w:color w:val="auto"/>
          </w:rPr>
          <w:t>http://asc.fasb.org</w:t>
        </w:r>
      </w:hyperlink>
      <w:r w:rsidRPr="00C16A9F">
        <w:t xml:space="preserve">. (or, if your institution participates in the American Accounting Association academic access initiate, at </w:t>
      </w:r>
      <w:hyperlink r:id="rId10" w:history="1">
        <w:r w:rsidR="00BC564E" w:rsidRPr="00C16A9F">
          <w:rPr>
            <w:rStyle w:val="Hyperlink"/>
            <w:color w:val="auto"/>
          </w:rPr>
          <w:t>http://aaahq.org/ascLogin.</w:t>
        </w:r>
        <w:r w:rsidR="00BC564E" w:rsidRPr="00C16A9F">
          <w:rPr>
            <w:rStyle w:val="Hyperlink"/>
            <w:color w:val="auto"/>
          </w:rPr>
          <w:br/>
          <w:t>cfm</w:t>
        </w:r>
      </w:hyperlink>
      <w:r w:rsidRPr="00C16A9F">
        <w:t xml:space="preserve">). All users must register before they can log in. After logging in, the </w:t>
      </w:r>
      <w:r w:rsidR="00877D51" w:rsidRPr="00C16A9F">
        <w:t>“</w:t>
      </w:r>
      <w:r w:rsidRPr="00C16A9F">
        <w:t>home page</w:t>
      </w:r>
      <w:r w:rsidR="00877D51" w:rsidRPr="00C16A9F">
        <w:t>”</w:t>
      </w:r>
      <w:r w:rsidRPr="00C16A9F">
        <w:t xml:space="preserve"> provides a notice to constituents, links to tutorials, instructions on how to </w:t>
      </w:r>
      <w:r w:rsidR="00877D51" w:rsidRPr="00C16A9F">
        <w:t>“</w:t>
      </w:r>
      <w:r w:rsidRPr="00C16A9F">
        <w:t>join sections,</w:t>
      </w:r>
      <w:r w:rsidR="00877D51" w:rsidRPr="00C16A9F">
        <w:t>”</w:t>
      </w:r>
      <w:r w:rsidRPr="00C16A9F">
        <w:t xml:space="preserve"> and explanations of how to cross reference the Codification sections to the original pronouncements. The framework of the Codification contains six components or levels: (1) Areas, (2) Topics, (3) Subtopics, (4) Sections, (5) Subsections, and (6) Paragraphs containing GAAP. The </w:t>
      </w:r>
      <w:r w:rsidRPr="00C16A9F">
        <w:rPr>
          <w:i/>
        </w:rPr>
        <w:t>Areas</w:t>
      </w:r>
      <w:r w:rsidRPr="00C16A9F">
        <w:t xml:space="preserve"> component is located on the left side of the home page, and contains links to </w:t>
      </w:r>
      <w:r w:rsidR="00F5761C" w:rsidRPr="00C16A9F">
        <w:t xml:space="preserve">nine broad </w:t>
      </w:r>
      <w:r w:rsidRPr="00C16A9F">
        <w:t>accounting subjects which include</w:t>
      </w:r>
      <w:r w:rsidR="00F5761C" w:rsidRPr="00C16A9F">
        <w:t xml:space="preserve"> General Principles, Presentation,</w:t>
      </w:r>
      <w:r w:rsidR="00FE0D30" w:rsidRPr="00C16A9F">
        <w:t xml:space="preserve"> </w:t>
      </w:r>
      <w:r w:rsidRPr="00C16A9F">
        <w:rPr>
          <w:i/>
        </w:rPr>
        <w:t>Assets</w:t>
      </w:r>
      <w:r w:rsidRPr="00C16A9F">
        <w:t xml:space="preserve">, </w:t>
      </w:r>
      <w:r w:rsidRPr="00C16A9F">
        <w:rPr>
          <w:i/>
        </w:rPr>
        <w:t>Liabilities</w:t>
      </w:r>
      <w:r w:rsidRPr="00C16A9F">
        <w:t xml:space="preserve">, </w:t>
      </w:r>
      <w:r w:rsidRPr="00C16A9F">
        <w:rPr>
          <w:i/>
        </w:rPr>
        <w:t>Equity</w:t>
      </w:r>
      <w:r w:rsidRPr="00C16A9F">
        <w:t xml:space="preserve">, </w:t>
      </w:r>
      <w:r w:rsidRPr="00C16A9F">
        <w:rPr>
          <w:i/>
        </w:rPr>
        <w:t>Revenue</w:t>
      </w:r>
      <w:r w:rsidRPr="00C16A9F">
        <w:t xml:space="preserve">, </w:t>
      </w:r>
      <w:r w:rsidRPr="00C16A9F">
        <w:rPr>
          <w:i/>
        </w:rPr>
        <w:t>Expenses</w:t>
      </w:r>
      <w:r w:rsidRPr="00C16A9F">
        <w:t xml:space="preserve">, </w:t>
      </w:r>
      <w:r w:rsidRPr="00C16A9F">
        <w:rPr>
          <w:i/>
        </w:rPr>
        <w:t>Broad Transactions</w:t>
      </w:r>
      <w:r w:rsidRPr="00C16A9F">
        <w:t xml:space="preserve">, and </w:t>
      </w:r>
      <w:r w:rsidRPr="00C16A9F">
        <w:rPr>
          <w:i/>
        </w:rPr>
        <w:t>Industry</w:t>
      </w:r>
      <w:r w:rsidRPr="00C16A9F">
        <w:t xml:space="preserve">, along with a </w:t>
      </w:r>
      <w:r w:rsidRPr="00C16A9F">
        <w:rPr>
          <w:i/>
        </w:rPr>
        <w:t>Master Glossary</w:t>
      </w:r>
      <w:r w:rsidRPr="00C16A9F">
        <w:t xml:space="preserve"> link and a </w:t>
      </w:r>
      <w:r w:rsidR="00877D51" w:rsidRPr="00C16A9F">
        <w:t>“</w:t>
      </w:r>
      <w:r w:rsidRPr="00C16A9F">
        <w:rPr>
          <w:i/>
        </w:rPr>
        <w:t>Go To</w:t>
      </w:r>
      <w:r w:rsidR="00877D51" w:rsidRPr="00C16A9F">
        <w:t>”</w:t>
      </w:r>
      <w:r w:rsidRPr="00C16A9F">
        <w:t xml:space="preserve"> box for users</w:t>
      </w:r>
      <w:r w:rsidRPr="00F82EDD">
        <w:t xml:space="preserve"> familiar with the Codification numbering system.</w:t>
      </w:r>
    </w:p>
    <w:p w:rsidR="00732D1D" w:rsidRDefault="00732D1D">
      <w:pPr>
        <w:widowControl/>
        <w:autoSpaceDE/>
        <w:autoSpaceDN/>
        <w:adjustRightInd/>
        <w:rPr>
          <w:rFonts w:cs="Arial"/>
          <w:b/>
          <w:szCs w:val="22"/>
          <w:u w:val="single"/>
        </w:rPr>
      </w:pPr>
    </w:p>
    <w:p w:rsidR="00255EDC" w:rsidRDefault="00255EDC" w:rsidP="00E230D4">
      <w:pPr>
        <w:pStyle w:val="text"/>
      </w:pPr>
      <w:r>
        <w:t xml:space="preserve">The Topics, Subtopics, Sections, Subsections, and Paragraphs are considered descending </w:t>
      </w:r>
      <w:r w:rsidR="00877D51">
        <w:t>“</w:t>
      </w:r>
      <w:r>
        <w:t>levels</w:t>
      </w:r>
      <w:r w:rsidR="00877D51">
        <w:t>”</w:t>
      </w:r>
      <w:r>
        <w:t xml:space="preserve"> of the Codification database, and each item in each level is numbered for reference and search purposes. The Topics level is accessed by clicking on the Area </w:t>
      </w:r>
      <w:r w:rsidR="00877D51">
        <w:t>“</w:t>
      </w:r>
      <w:r>
        <w:t>subject</w:t>
      </w:r>
      <w:r w:rsidR="00877D51">
        <w:t>”</w:t>
      </w:r>
      <w:r>
        <w:t xml:space="preserve"> links on the Codification homepage. The following is an explanation of the descending order of the levels</w:t>
      </w:r>
      <w:r w:rsidR="00F5761C">
        <w:t xml:space="preserve"> within each Area</w:t>
      </w:r>
      <w:r>
        <w:t>.</w:t>
      </w:r>
    </w:p>
    <w:p w:rsidR="00255EDC" w:rsidRDefault="00255EDC" w:rsidP="003102D0">
      <w:pPr>
        <w:pStyle w:val="6pt"/>
      </w:pPr>
    </w:p>
    <w:p w:rsidR="00255EDC" w:rsidRDefault="00255EDC" w:rsidP="00B53299">
      <w:pPr>
        <w:pStyle w:val="textbulletedlist"/>
      </w:pPr>
      <w:r w:rsidRPr="003C3FB2">
        <w:rPr>
          <w:u w:val="single"/>
        </w:rPr>
        <w:t>Topics</w:t>
      </w:r>
      <w:r>
        <w:t xml:space="preserve"> involve a collection of related guidance on a particular subject area (e.g. Assets).</w:t>
      </w:r>
    </w:p>
    <w:p w:rsidR="00255EDC" w:rsidRDefault="00255EDC" w:rsidP="00B53299">
      <w:pPr>
        <w:pStyle w:val="textbulletedlist"/>
      </w:pPr>
      <w:r w:rsidRPr="003C3FB2">
        <w:rPr>
          <w:u w:val="single"/>
        </w:rPr>
        <w:t>Subtopics</w:t>
      </w:r>
      <w:r>
        <w:t xml:space="preserve"> are subsets of a Topic and generally are distinguished by </w:t>
      </w:r>
      <w:r w:rsidR="00877D51">
        <w:t>“</w:t>
      </w:r>
      <w:r>
        <w:t>type</w:t>
      </w:r>
      <w:r w:rsidR="00877D51">
        <w:t>”</w:t>
      </w:r>
      <w:r>
        <w:t xml:space="preserve"> or by </w:t>
      </w:r>
      <w:r w:rsidR="00877D51">
        <w:t>“</w:t>
      </w:r>
      <w:r>
        <w:t>scope</w:t>
      </w:r>
      <w:r w:rsidR="00877D51">
        <w:t>”</w:t>
      </w:r>
      <w:r>
        <w:t xml:space="preserve"> (e.g., under the Leases Topic, there are Subtopics for Operating Leases and Capital Leases, because they are different types of Leases).</w:t>
      </w:r>
    </w:p>
    <w:p w:rsidR="00255EDC" w:rsidRDefault="00255EDC" w:rsidP="00B53299">
      <w:pPr>
        <w:pStyle w:val="textbulletedlist"/>
      </w:pPr>
      <w:r w:rsidRPr="003C3FB2">
        <w:rPr>
          <w:u w:val="single"/>
        </w:rPr>
        <w:t xml:space="preserve">Sections </w:t>
      </w:r>
      <w:r>
        <w:t>characterize the nature of the content in a Subtopic (e.g., Recognition, Measurement, Disclosure).</w:t>
      </w:r>
    </w:p>
    <w:p w:rsidR="00255EDC" w:rsidRDefault="00255EDC" w:rsidP="00B53299">
      <w:pPr>
        <w:pStyle w:val="textbulletedlist"/>
      </w:pPr>
      <w:r w:rsidRPr="003C3FB2">
        <w:rPr>
          <w:u w:val="single"/>
        </w:rPr>
        <w:t>Subsections</w:t>
      </w:r>
      <w:r>
        <w:t xml:space="preserve"> refine and breakdown Sections into narrower and more specific </w:t>
      </w:r>
      <w:r w:rsidR="00F5761C">
        <w:t>items</w:t>
      </w:r>
      <w:r>
        <w:t>.</w:t>
      </w:r>
      <w:r w:rsidRPr="00255EDC">
        <w:t xml:space="preserve"> </w:t>
      </w:r>
      <w:r>
        <w:t xml:space="preserve">If a Subsection is necessary, it is </w:t>
      </w:r>
      <w:r w:rsidRPr="008714F5">
        <w:rPr>
          <w:i/>
        </w:rPr>
        <w:t>not</w:t>
      </w:r>
      <w:r>
        <w:t xml:space="preserve"> numbered but does include the Paragraphs that contain the guidance that constitutes GAAP.</w:t>
      </w:r>
    </w:p>
    <w:p w:rsidR="00255EDC" w:rsidRDefault="00255EDC" w:rsidP="00B53299">
      <w:pPr>
        <w:pStyle w:val="textbulletedlist"/>
      </w:pPr>
      <w:r w:rsidRPr="003C3FB2">
        <w:rPr>
          <w:u w:val="single"/>
        </w:rPr>
        <w:t xml:space="preserve">Paragraphs </w:t>
      </w:r>
      <w:r>
        <w:t>contain the guidance that constitutes GAAP.</w:t>
      </w:r>
    </w:p>
    <w:p w:rsidR="00255EDC" w:rsidRDefault="00255EDC" w:rsidP="003102D0">
      <w:pPr>
        <w:pStyle w:val="6pt"/>
      </w:pPr>
    </w:p>
    <w:p w:rsidR="00255EDC" w:rsidRDefault="00255EDC" w:rsidP="00E230D4">
      <w:pPr>
        <w:pStyle w:val="text"/>
      </w:pPr>
      <w:r>
        <w:t xml:space="preserve">To find the GAAP for a particular accounting issue, after logging in you would go to the Area links in the left column of the homepage and click on an Area (e.g., Assets). This would bring you to a menu of Topics, after which you would click on one </w:t>
      </w:r>
      <w:r w:rsidR="009A3AB0">
        <w:t>t</w:t>
      </w:r>
      <w:r>
        <w:t xml:space="preserve">opic. This would bring you to a menu containing Subtopics. After clicking on a Subtopic, this would bring you to a menu containing several Sections. Here, you would have to decide which Section is most likely to contain the answer to your question. You would click on that Section, which would bring you to the paragraphs containing the answer (GAAP) for your question. This completes your search. If you wanted to reference this answer, you would indicate that it can be found by listing the Topic, Subtopic, Section, and paragraph numbers (e.g., </w:t>
      </w:r>
      <w:r w:rsidR="00B6467C">
        <w:t>ASC</w:t>
      </w:r>
      <w:r>
        <w:t xml:space="preserve"> 330-10-30-1). Now, suppose you had left this screen and wanted to go back to this paragraph. To save time, you could enter 330-10-30-1 in the </w:t>
      </w:r>
      <w:r w:rsidR="00877D51">
        <w:t>“</w:t>
      </w:r>
      <w:r>
        <w:t>Go To</w:t>
      </w:r>
      <w:r w:rsidR="00877D51">
        <w:t>”</w:t>
      </w:r>
      <w:r>
        <w:t xml:space="preserve"> box on the homepage, and it would bring you directly to the paragraph.</w:t>
      </w:r>
    </w:p>
    <w:p w:rsidR="0027430D" w:rsidRDefault="0027430D">
      <w:pPr>
        <w:widowControl/>
        <w:autoSpaceDE/>
        <w:autoSpaceDN/>
        <w:adjustRightInd/>
        <w:rPr>
          <w:rFonts w:cs="Times"/>
          <w:b/>
          <w:szCs w:val="22"/>
          <w:u w:val="single"/>
        </w:rPr>
      </w:pPr>
      <w:r>
        <w:rPr>
          <w:rFonts w:cs="Times"/>
          <w:b/>
          <w:u w:val="single"/>
        </w:rPr>
        <w:br w:type="page"/>
      </w:r>
    </w:p>
    <w:p w:rsidR="00255EDC" w:rsidRDefault="000861C7" w:rsidP="00E230D4">
      <w:pPr>
        <w:pStyle w:val="text"/>
      </w:pPr>
      <w:r>
        <w:rPr>
          <w:rFonts w:cs="Times"/>
          <w:b/>
          <w:u w:val="single"/>
        </w:rPr>
        <w:lastRenderedPageBreak/>
        <w:t>C</w:t>
      </w:r>
      <w:r w:rsidR="00255EDC" w:rsidRPr="00091C7A">
        <w:rPr>
          <w:rFonts w:cs="Times"/>
          <w:b/>
          <w:u w:val="single"/>
        </w:rPr>
        <w:t>1-</w:t>
      </w:r>
      <w:r w:rsidR="00B3255F" w:rsidRPr="00091C7A">
        <w:rPr>
          <w:rFonts w:cs="Times"/>
          <w:b/>
          <w:u w:val="single"/>
        </w:rPr>
        <w:t>1</w:t>
      </w:r>
      <w:r w:rsidR="00742904">
        <w:rPr>
          <w:rFonts w:cs="Times"/>
          <w:b/>
          <w:u w:val="single"/>
        </w:rPr>
        <w:t>3</w:t>
      </w:r>
    </w:p>
    <w:p w:rsidR="00A85F85" w:rsidRPr="00C012E9" w:rsidRDefault="00A85F85" w:rsidP="00C012E9">
      <w:pPr>
        <w:pStyle w:val="text"/>
      </w:pPr>
    </w:p>
    <w:p w:rsidR="00B5744E" w:rsidRDefault="00C012E9" w:rsidP="00C012E9">
      <w:pPr>
        <w:pStyle w:val="text"/>
      </w:pPr>
      <w:r w:rsidRPr="00C012E9">
        <w:rPr>
          <w:rFonts w:cs="Tahoma"/>
          <w:color w:val="000000"/>
          <w:szCs w:val="20"/>
          <w:u w:val="single"/>
        </w:rPr>
        <w:t>Note to Instructor:</w:t>
      </w:r>
      <w:r w:rsidRPr="00C012E9">
        <w:rPr>
          <w:rFonts w:cs="Tahoma"/>
          <w:color w:val="000000"/>
          <w:szCs w:val="20"/>
        </w:rPr>
        <w:t xml:space="preserve"> Students are expected to cite references to GAAP in their research of this issue. While they might use various sources to conduct their research,</w:t>
      </w:r>
      <w:r w:rsidR="00D8499B" w:rsidRPr="00D8499B">
        <w:rPr>
          <w:rFonts w:cs="Tahoma"/>
          <w:color w:val="000000"/>
          <w:szCs w:val="20"/>
        </w:rPr>
        <w:t xml:space="preserve"> </w:t>
      </w:r>
      <w:r w:rsidR="00D8499B" w:rsidRPr="00C012E9">
        <w:rPr>
          <w:rFonts w:cs="Tahoma"/>
          <w:color w:val="000000"/>
          <w:szCs w:val="20"/>
        </w:rPr>
        <w:t>the</w:t>
      </w:r>
      <w:r w:rsidR="00D8499B" w:rsidRPr="00C012E9">
        <w:rPr>
          <w:rFonts w:cs="Tahoma"/>
          <w:i/>
          <w:iCs/>
          <w:color w:val="000000"/>
          <w:szCs w:val="20"/>
        </w:rPr>
        <w:t xml:space="preserve"> FASB Accounting Standards Codification</w:t>
      </w:r>
      <w:r w:rsidR="00845F85">
        <w:rPr>
          <w:rFonts w:cs="Tahoma"/>
          <w:i/>
          <w:iCs/>
          <w:color w:val="000000"/>
          <w:szCs w:val="20"/>
        </w:rPr>
        <w:t>,</w:t>
      </w:r>
      <w:r w:rsidR="00D8499B" w:rsidRPr="00C012E9">
        <w:rPr>
          <w:rFonts w:cs="Tahoma"/>
          <w:color w:val="000000"/>
          <w:szCs w:val="20"/>
        </w:rPr>
        <w:t xml:space="preserve"> </w:t>
      </w:r>
      <w:r w:rsidR="00D8499B">
        <w:rPr>
          <w:rFonts w:cs="Tahoma"/>
          <w:color w:val="000000"/>
          <w:szCs w:val="20"/>
        </w:rPr>
        <w:t xml:space="preserve">which </w:t>
      </w:r>
      <w:r w:rsidR="00D8499B" w:rsidRPr="00C012E9">
        <w:rPr>
          <w:rFonts w:cs="Tahoma"/>
          <w:color w:val="000000"/>
          <w:szCs w:val="20"/>
        </w:rPr>
        <w:t>is the primary source of GAAP</w:t>
      </w:r>
      <w:r w:rsidR="00D8499B">
        <w:t>, is cited.</w:t>
      </w:r>
    </w:p>
    <w:p w:rsidR="0027430D" w:rsidRDefault="0027430D" w:rsidP="0027430D">
      <w:pPr>
        <w:pStyle w:val="text"/>
      </w:pPr>
    </w:p>
    <w:p w:rsidR="003102D0" w:rsidRDefault="008B373E" w:rsidP="003102D0">
      <w:pPr>
        <w:pStyle w:val="text"/>
      </w:pPr>
      <w:r w:rsidRPr="00C012E9">
        <w:t xml:space="preserve">The cost of a productive facility (e.g., machine) is one of the costs of the services it renders during its useful economic life. Generally accepted accounting principles (GAAP) require that </w:t>
      </w:r>
    </w:p>
    <w:p w:rsidR="008B373E" w:rsidRPr="00C012E9" w:rsidRDefault="003102D0" w:rsidP="00C012E9">
      <w:pPr>
        <w:pStyle w:val="text"/>
      </w:pPr>
      <w:r w:rsidRPr="00C012E9">
        <w:t xml:space="preserve">this cost be spread over the expected useful life of the facility in such a way as to allocate it as </w:t>
      </w:r>
      <w:r w:rsidR="008B373E" w:rsidRPr="00C012E9">
        <w:t>equitably as possible to the periods during which services are obtained from the use of the facility. This procedure is known as depreciation accounting, which aims to distribute the cost, less salvage (if any), over the estimated useful life of the unit in a systematic and rational manner. It is a process of allocation, not of valuation.</w:t>
      </w:r>
    </w:p>
    <w:p w:rsidR="00875828" w:rsidRDefault="00875828" w:rsidP="00E230D4">
      <w:pPr>
        <w:pStyle w:val="text"/>
      </w:pPr>
    </w:p>
    <w:p w:rsidR="008B373E" w:rsidRDefault="008B373E" w:rsidP="00E230D4">
      <w:pPr>
        <w:pStyle w:val="text"/>
      </w:pPr>
      <w:r>
        <w:t xml:space="preserve">This is a summary. The complete GAAP may be found at </w:t>
      </w:r>
      <w:r w:rsidR="00B6467C">
        <w:t>ASC</w:t>
      </w:r>
      <w:r>
        <w:t xml:space="preserve"> 360-10-35-4.</w:t>
      </w:r>
    </w:p>
    <w:p w:rsidR="00875828" w:rsidRDefault="00875828" w:rsidP="00E230D4">
      <w:pPr>
        <w:pStyle w:val="text"/>
      </w:pPr>
    </w:p>
    <w:p w:rsidR="00F5761C" w:rsidRPr="00F82EDD" w:rsidRDefault="00F5761C" w:rsidP="00E230D4">
      <w:pPr>
        <w:pStyle w:val="text"/>
      </w:pPr>
      <w:r w:rsidRPr="00C16A9F">
        <w:t xml:space="preserve">The Codification is located at </w:t>
      </w:r>
      <w:hyperlink r:id="rId11" w:history="1">
        <w:r w:rsidRPr="00C16A9F">
          <w:rPr>
            <w:rStyle w:val="Hyperlink"/>
            <w:color w:val="auto"/>
          </w:rPr>
          <w:t>http://asc.fasb.org</w:t>
        </w:r>
      </w:hyperlink>
      <w:r w:rsidRPr="00C16A9F">
        <w:t xml:space="preserve">. (or, if your institution participates in the American Accounting Association academic access initiate, at </w:t>
      </w:r>
      <w:hyperlink r:id="rId12" w:history="1">
        <w:r w:rsidR="00BC564E" w:rsidRPr="00C16A9F">
          <w:rPr>
            <w:rStyle w:val="Hyperlink"/>
            <w:color w:val="auto"/>
          </w:rPr>
          <w:t>http://aaahq.org/ascLogin.</w:t>
        </w:r>
        <w:r w:rsidR="00BC564E" w:rsidRPr="00C16A9F">
          <w:rPr>
            <w:rStyle w:val="Hyperlink"/>
            <w:color w:val="auto"/>
          </w:rPr>
          <w:br/>
          <w:t>cfm</w:t>
        </w:r>
      </w:hyperlink>
      <w:r w:rsidRPr="00C16A9F">
        <w:t xml:space="preserve">). All users must register before they can log in. After logging in, the </w:t>
      </w:r>
      <w:r w:rsidR="00877D51" w:rsidRPr="00C16A9F">
        <w:t>“</w:t>
      </w:r>
      <w:r w:rsidRPr="00C16A9F">
        <w:t>home page</w:t>
      </w:r>
      <w:r w:rsidR="00877D51" w:rsidRPr="00C16A9F">
        <w:t>”</w:t>
      </w:r>
      <w:r w:rsidRPr="00C16A9F">
        <w:t xml:space="preserve"> provides a notice to constituents, links to tutorials, instructions on how to </w:t>
      </w:r>
      <w:r w:rsidR="00877D51" w:rsidRPr="00C16A9F">
        <w:t>“</w:t>
      </w:r>
      <w:r w:rsidRPr="00C16A9F">
        <w:t>join sections,</w:t>
      </w:r>
      <w:r w:rsidR="00877D51" w:rsidRPr="00C16A9F">
        <w:t>”</w:t>
      </w:r>
      <w:r w:rsidRPr="00C16A9F">
        <w:t xml:space="preserve"> and explanations of how to cross reference the Codification sections to the original pronouncements. The framework of the Codification contains six components or levels: (1) Areas, (2) Topics, (3) Subtopics, (4) Sections, (5) Subsections, and (6) Paragraphs containing GAAP. The </w:t>
      </w:r>
      <w:r w:rsidRPr="00C16A9F">
        <w:rPr>
          <w:i/>
        </w:rPr>
        <w:t>Areas</w:t>
      </w:r>
      <w:r w:rsidRPr="00C16A9F">
        <w:t xml:space="preserve"> component is located on the left side of the home page, and contains links to nine broad accounting subjects which include </w:t>
      </w:r>
      <w:r w:rsidRPr="00C16A9F">
        <w:rPr>
          <w:i/>
        </w:rPr>
        <w:t>General Principles, Presentation</w:t>
      </w:r>
      <w:r w:rsidRPr="00C16A9F">
        <w:t>,</w:t>
      </w:r>
      <w:r w:rsidR="00FE0D30" w:rsidRPr="00C16A9F">
        <w:t xml:space="preserve"> </w:t>
      </w:r>
      <w:r w:rsidRPr="00C16A9F">
        <w:rPr>
          <w:i/>
        </w:rPr>
        <w:t>Assets</w:t>
      </w:r>
      <w:r w:rsidRPr="00C16A9F">
        <w:t xml:space="preserve">, </w:t>
      </w:r>
      <w:r w:rsidRPr="00C16A9F">
        <w:rPr>
          <w:i/>
        </w:rPr>
        <w:t>Liabilities</w:t>
      </w:r>
      <w:r w:rsidRPr="00C16A9F">
        <w:t xml:space="preserve">, </w:t>
      </w:r>
      <w:r w:rsidRPr="00C16A9F">
        <w:rPr>
          <w:i/>
        </w:rPr>
        <w:t>Equity</w:t>
      </w:r>
      <w:r w:rsidRPr="00C16A9F">
        <w:t xml:space="preserve">, </w:t>
      </w:r>
      <w:r w:rsidRPr="00C16A9F">
        <w:rPr>
          <w:i/>
        </w:rPr>
        <w:t>Revenue</w:t>
      </w:r>
      <w:r w:rsidRPr="00C16A9F">
        <w:t xml:space="preserve">, </w:t>
      </w:r>
      <w:r w:rsidRPr="00C16A9F">
        <w:rPr>
          <w:i/>
        </w:rPr>
        <w:t>Expenses</w:t>
      </w:r>
      <w:r w:rsidRPr="00C16A9F">
        <w:t xml:space="preserve">, </w:t>
      </w:r>
      <w:r w:rsidRPr="00C16A9F">
        <w:rPr>
          <w:i/>
        </w:rPr>
        <w:t>Broad Transactions</w:t>
      </w:r>
      <w:r w:rsidRPr="00C16A9F">
        <w:t xml:space="preserve">, and </w:t>
      </w:r>
      <w:r w:rsidRPr="00C16A9F">
        <w:rPr>
          <w:i/>
        </w:rPr>
        <w:t>Industry</w:t>
      </w:r>
      <w:r w:rsidRPr="00C16A9F">
        <w:t xml:space="preserve">, along with a </w:t>
      </w:r>
      <w:r w:rsidRPr="00C16A9F">
        <w:rPr>
          <w:i/>
        </w:rPr>
        <w:t>Master Glossary</w:t>
      </w:r>
      <w:r w:rsidRPr="00C16A9F">
        <w:t xml:space="preserve"> link and a </w:t>
      </w:r>
      <w:r w:rsidR="00877D51" w:rsidRPr="00C16A9F">
        <w:t>“</w:t>
      </w:r>
      <w:r w:rsidRPr="00C16A9F">
        <w:rPr>
          <w:i/>
        </w:rPr>
        <w:t>Go To</w:t>
      </w:r>
      <w:r w:rsidR="00877D51" w:rsidRPr="00C16A9F">
        <w:t>”</w:t>
      </w:r>
      <w:r w:rsidRPr="00C16A9F">
        <w:t xml:space="preserve"> box for users</w:t>
      </w:r>
      <w:r w:rsidRPr="00F82EDD">
        <w:t xml:space="preserve"> familiar with the Codification numbering system.</w:t>
      </w:r>
    </w:p>
    <w:p w:rsidR="00F5761C" w:rsidRDefault="00F5761C" w:rsidP="00B53299">
      <w:pPr>
        <w:pStyle w:val="textbulletedlist"/>
      </w:pPr>
      <w:r>
        <w:t xml:space="preserve">The Topics, Subtopics, Sections, Subsections, and Paragraphs are considered descending </w:t>
      </w:r>
      <w:r w:rsidR="00877D51">
        <w:t>“</w:t>
      </w:r>
      <w:r>
        <w:t>levels</w:t>
      </w:r>
      <w:r w:rsidR="00877D51">
        <w:t>”</w:t>
      </w:r>
      <w:r>
        <w:t xml:space="preserve"> of the Codification database, and each item in each level is numbered for reference and search purposes. The Topics level is accessed by clicking on the Area </w:t>
      </w:r>
      <w:r w:rsidR="00877D51">
        <w:t>“</w:t>
      </w:r>
      <w:r>
        <w:t>subject</w:t>
      </w:r>
      <w:r w:rsidR="00877D51">
        <w:t>”</w:t>
      </w:r>
      <w:r>
        <w:t xml:space="preserve"> links on the Codification homepage. The following is an explanation of the descending order of the levels within each Area.</w:t>
      </w:r>
    </w:p>
    <w:p w:rsidR="00F5761C" w:rsidRDefault="00F5761C" w:rsidP="00B53299">
      <w:pPr>
        <w:pStyle w:val="textbulletedlist"/>
      </w:pPr>
      <w:r w:rsidRPr="00C418BA">
        <w:rPr>
          <w:i/>
        </w:rPr>
        <w:t>Topics</w:t>
      </w:r>
      <w:r>
        <w:t xml:space="preserve"> involve a collection of related guidance on a particular subject area (e.g. Assets).</w:t>
      </w:r>
    </w:p>
    <w:p w:rsidR="00F5761C" w:rsidRDefault="00F5761C" w:rsidP="00B53299">
      <w:pPr>
        <w:pStyle w:val="textbulletedlist"/>
      </w:pPr>
      <w:r w:rsidRPr="00C418BA">
        <w:rPr>
          <w:i/>
        </w:rPr>
        <w:t>Subtopics</w:t>
      </w:r>
      <w:r>
        <w:t xml:space="preserve"> are subsets of a Topic and generally are distinguished by </w:t>
      </w:r>
      <w:r w:rsidR="00877D51">
        <w:t>“</w:t>
      </w:r>
      <w:r>
        <w:t>type</w:t>
      </w:r>
      <w:r w:rsidR="00877D51">
        <w:t>”</w:t>
      </w:r>
      <w:r>
        <w:t xml:space="preserve"> or by </w:t>
      </w:r>
      <w:r w:rsidR="00877D51">
        <w:t>“</w:t>
      </w:r>
      <w:r>
        <w:t>scope</w:t>
      </w:r>
      <w:r w:rsidR="00877D51">
        <w:t>”</w:t>
      </w:r>
      <w:r>
        <w:t xml:space="preserve"> (e.g., under the Leases Topic, there are Subtopics for Operating Leases and Capital Leases, because they are different types of Leases).</w:t>
      </w:r>
    </w:p>
    <w:p w:rsidR="00F5761C" w:rsidRDefault="00F5761C" w:rsidP="00B53299">
      <w:pPr>
        <w:pStyle w:val="textbulletedlist"/>
      </w:pPr>
      <w:r w:rsidRPr="00C418BA">
        <w:rPr>
          <w:i/>
        </w:rPr>
        <w:t>Sections</w:t>
      </w:r>
      <w:r>
        <w:t xml:space="preserve"> characterize the nature of the content in a Subtopic (e.g., Recognition, Measurement, Disclosure).</w:t>
      </w:r>
    </w:p>
    <w:p w:rsidR="00F5761C" w:rsidRDefault="00F5761C" w:rsidP="00B53299">
      <w:pPr>
        <w:pStyle w:val="textbulletedlist"/>
      </w:pPr>
      <w:r w:rsidRPr="00C418BA">
        <w:rPr>
          <w:i/>
        </w:rPr>
        <w:t>Subsections</w:t>
      </w:r>
      <w:r>
        <w:t xml:space="preserve"> refine and breakdown Sections into narrower and more specific items.</w:t>
      </w:r>
      <w:r w:rsidRPr="00255EDC">
        <w:t xml:space="preserve"> </w:t>
      </w:r>
      <w:r>
        <w:t xml:space="preserve">If a Subsection is necessary, it is </w:t>
      </w:r>
      <w:r w:rsidRPr="00581317">
        <w:rPr>
          <w:i/>
        </w:rPr>
        <w:t xml:space="preserve">not </w:t>
      </w:r>
      <w:r>
        <w:t>numbered but does include the Paragraphs that contain the guidance that constitutes GAAP.</w:t>
      </w:r>
    </w:p>
    <w:p w:rsidR="001F22EC" w:rsidRDefault="00F5761C" w:rsidP="00DB2E5D">
      <w:pPr>
        <w:pStyle w:val="textbulletedlist"/>
        <w:widowControl/>
        <w:autoSpaceDE/>
        <w:autoSpaceDN/>
        <w:adjustRightInd/>
      </w:pPr>
      <w:r w:rsidRPr="00DB2E5D">
        <w:rPr>
          <w:i/>
        </w:rPr>
        <w:t>Paragraphs</w:t>
      </w:r>
      <w:r>
        <w:t xml:space="preserve"> contain the guidance that constitutes GAAP.</w:t>
      </w:r>
    </w:p>
    <w:p w:rsidR="0027430D" w:rsidRDefault="0027430D">
      <w:pPr>
        <w:widowControl/>
        <w:autoSpaceDE/>
        <w:autoSpaceDN/>
        <w:adjustRightInd/>
        <w:rPr>
          <w:rFonts w:cs="Arial"/>
          <w:b/>
          <w:szCs w:val="22"/>
          <w:u w:val="single"/>
        </w:rPr>
      </w:pPr>
      <w:r>
        <w:rPr>
          <w:b/>
          <w:u w:val="single"/>
        </w:rPr>
        <w:br w:type="page"/>
      </w:r>
    </w:p>
    <w:p w:rsidR="0027430D" w:rsidRPr="00A85F85" w:rsidRDefault="0027430D" w:rsidP="0027430D">
      <w:pPr>
        <w:pStyle w:val="text"/>
        <w:rPr>
          <w:b/>
          <w:u w:val="single"/>
        </w:rPr>
      </w:pPr>
      <w:r w:rsidRPr="00A85F85">
        <w:rPr>
          <w:b/>
          <w:u w:val="single"/>
        </w:rPr>
        <w:lastRenderedPageBreak/>
        <w:t>C1-1</w:t>
      </w:r>
      <w:r>
        <w:rPr>
          <w:b/>
          <w:u w:val="single"/>
        </w:rPr>
        <w:t>3</w:t>
      </w:r>
      <w:r>
        <w:rPr>
          <w:b/>
        </w:rPr>
        <w:tab/>
      </w:r>
      <w:r w:rsidRPr="00875828">
        <w:rPr>
          <w:b/>
        </w:rPr>
        <w:t>(con</w:t>
      </w:r>
      <w:r>
        <w:rPr>
          <w:b/>
        </w:rPr>
        <w:t>cl</w:t>
      </w:r>
      <w:r w:rsidRPr="00875828">
        <w:rPr>
          <w:b/>
        </w:rPr>
        <w:t>u</w:t>
      </w:r>
      <w:r>
        <w:rPr>
          <w:b/>
        </w:rPr>
        <w:t>d</w:t>
      </w:r>
      <w:r w:rsidRPr="00875828">
        <w:rPr>
          <w:b/>
        </w:rPr>
        <w:t>ed)</w:t>
      </w:r>
    </w:p>
    <w:p w:rsidR="001F22EC" w:rsidRDefault="001F22EC" w:rsidP="00E230D4">
      <w:pPr>
        <w:pStyle w:val="text"/>
      </w:pPr>
    </w:p>
    <w:p w:rsidR="003102D0" w:rsidRDefault="00F5761C" w:rsidP="00E230D4">
      <w:pPr>
        <w:pStyle w:val="text"/>
      </w:pPr>
      <w:r>
        <w:t xml:space="preserve">To find the GAAP for a particular accounting issue, after logging in you would go to the Area links in the left column of the homepage and click on an Area (e.g., Assets). This would bring you to a menu of </w:t>
      </w:r>
      <w:r w:rsidR="00C012E9">
        <w:t>seven</w:t>
      </w:r>
      <w:r>
        <w:t xml:space="preserve"> Topics of assets, after which you would click on one </w:t>
      </w:r>
      <w:r w:rsidR="002A2FB9">
        <w:t>t</w:t>
      </w:r>
      <w:r>
        <w:t xml:space="preserve">opic. This would bring you to a menu containing Subtopics. After clicking on a Subtopic, this would bring you to a menu containing several Sections. Here, you would have to decide which Section is most likely to contain the answer to your question. You would click on that Section, which would bring you to the paragraphs containing the answer (GAAP) for your question. This completes your search. If you wanted to reference this answer, you would indicate that it can be found by listing the Topic, Subtopic, Section, and paragraph numbers (e.g., ASC 360-10-35-4). Now, suppose you had left this screen and wanted to go back to this paragraph. To save time, you could enter 360-10-35-4 in the </w:t>
      </w:r>
      <w:r w:rsidR="00877D51">
        <w:t>“</w:t>
      </w:r>
      <w:r>
        <w:t>Go To</w:t>
      </w:r>
      <w:r w:rsidR="00877D51">
        <w:t>”</w:t>
      </w:r>
      <w:r>
        <w:t xml:space="preserve"> box on the homepage, and it would bring you directly to the paragraph.</w:t>
      </w:r>
    </w:p>
    <w:p w:rsidR="0027430D" w:rsidRDefault="0027430D" w:rsidP="00E230D4">
      <w:pPr>
        <w:pStyle w:val="text"/>
      </w:pPr>
    </w:p>
    <w:p w:rsidR="00762272" w:rsidRPr="00762272" w:rsidRDefault="00762272" w:rsidP="00E230D4">
      <w:pPr>
        <w:pStyle w:val="text"/>
        <w:rPr>
          <w:rFonts w:cs="Times"/>
          <w:b/>
        </w:rPr>
      </w:pPr>
      <w:r w:rsidRPr="00091C7A">
        <w:rPr>
          <w:rFonts w:cs="Times"/>
          <w:b/>
          <w:u w:val="single"/>
        </w:rPr>
        <w:t>C1-</w:t>
      </w:r>
      <w:r w:rsidR="00B3255F" w:rsidRPr="00091C7A">
        <w:rPr>
          <w:rFonts w:cs="Times"/>
          <w:b/>
          <w:u w:val="single"/>
        </w:rPr>
        <w:t>1</w:t>
      </w:r>
      <w:r w:rsidR="00742904">
        <w:rPr>
          <w:rFonts w:cs="Times"/>
          <w:b/>
          <w:u w:val="single"/>
        </w:rPr>
        <w:t>4</w:t>
      </w:r>
    </w:p>
    <w:p w:rsidR="00C012E9" w:rsidRPr="003629A5" w:rsidRDefault="00C012E9" w:rsidP="003629A5">
      <w:pPr>
        <w:pStyle w:val="text"/>
      </w:pPr>
    </w:p>
    <w:p w:rsidR="00EA15E1" w:rsidRDefault="00C012E9" w:rsidP="003629A5">
      <w:pPr>
        <w:pStyle w:val="text"/>
      </w:pPr>
      <w:r w:rsidRPr="003629A5">
        <w:rPr>
          <w:rFonts w:cs="Tahoma"/>
          <w:color w:val="000000"/>
          <w:szCs w:val="20"/>
          <w:u w:val="single"/>
        </w:rPr>
        <w:t>Note to Instructor:</w:t>
      </w:r>
      <w:r w:rsidRPr="003629A5">
        <w:rPr>
          <w:rFonts w:cs="Tahoma"/>
          <w:color w:val="000000"/>
          <w:szCs w:val="20"/>
        </w:rPr>
        <w:t xml:space="preserve"> Students are expected to cite references to GAAP in their research of this issue. While they might use various sources to conduct their research,</w:t>
      </w:r>
      <w:r w:rsidR="00333423">
        <w:rPr>
          <w:rFonts w:cs="Tahoma"/>
          <w:color w:val="000000"/>
          <w:szCs w:val="20"/>
        </w:rPr>
        <w:t xml:space="preserve"> </w:t>
      </w:r>
      <w:r w:rsidR="00333423" w:rsidRPr="00C012E9">
        <w:rPr>
          <w:rFonts w:cs="Tahoma"/>
          <w:color w:val="000000"/>
          <w:szCs w:val="20"/>
        </w:rPr>
        <w:t>the</w:t>
      </w:r>
      <w:r w:rsidR="00333423" w:rsidRPr="00C012E9">
        <w:rPr>
          <w:rFonts w:cs="Tahoma"/>
          <w:i/>
          <w:iCs/>
          <w:color w:val="000000"/>
          <w:szCs w:val="20"/>
        </w:rPr>
        <w:t xml:space="preserve"> FASB Accounting Standards Codification</w:t>
      </w:r>
      <w:r w:rsidR="00845F85">
        <w:rPr>
          <w:rFonts w:cs="Tahoma"/>
          <w:i/>
          <w:iCs/>
          <w:color w:val="000000"/>
          <w:szCs w:val="20"/>
        </w:rPr>
        <w:t>,</w:t>
      </w:r>
      <w:r w:rsidR="00333423" w:rsidRPr="00C012E9">
        <w:rPr>
          <w:rFonts w:cs="Tahoma"/>
          <w:color w:val="000000"/>
          <w:szCs w:val="20"/>
        </w:rPr>
        <w:t xml:space="preserve"> </w:t>
      </w:r>
      <w:r w:rsidR="00333423">
        <w:rPr>
          <w:rFonts w:cs="Tahoma"/>
          <w:color w:val="000000"/>
          <w:szCs w:val="20"/>
        </w:rPr>
        <w:t xml:space="preserve">which </w:t>
      </w:r>
      <w:r w:rsidR="00333423" w:rsidRPr="00C012E9">
        <w:rPr>
          <w:rFonts w:cs="Tahoma"/>
          <w:color w:val="000000"/>
          <w:szCs w:val="20"/>
        </w:rPr>
        <w:t>is the primary source of GAAP</w:t>
      </w:r>
      <w:r w:rsidR="00333423">
        <w:t>, is cited.</w:t>
      </w:r>
    </w:p>
    <w:p w:rsidR="00EA15E1" w:rsidRDefault="00EA15E1" w:rsidP="003629A5">
      <w:pPr>
        <w:pStyle w:val="text"/>
      </w:pPr>
    </w:p>
    <w:p w:rsidR="00DA4B88" w:rsidRPr="003629A5" w:rsidRDefault="00DA4B88" w:rsidP="003629A5">
      <w:pPr>
        <w:pStyle w:val="text"/>
      </w:pPr>
      <w:r w:rsidRPr="003629A5">
        <w:t>The recognition of revenue of a company during a period involves consideration of the following two factors, with sometimes one and sometimes the other being the more important consideration:</w:t>
      </w:r>
    </w:p>
    <w:p w:rsidR="00DA4B88" w:rsidRDefault="00DA4B88" w:rsidP="00F112FC">
      <w:pPr>
        <w:pStyle w:val="6pt"/>
      </w:pPr>
    </w:p>
    <w:p w:rsidR="00DA4B88" w:rsidRDefault="00250171" w:rsidP="00250171">
      <w:pPr>
        <w:pStyle w:val="NumList"/>
      </w:pPr>
      <w:r>
        <w:t>(a)</w:t>
      </w:r>
      <w:r>
        <w:tab/>
      </w:r>
      <w:r w:rsidR="00DA4B88">
        <w:t xml:space="preserve">Being realized or realizable. Revenue generally is not recognized until realized or realizable. Revenue is realized when products (goods or services), merchandise, or other assets are exchanged for cash or claims to cash. Revenue is realizable when related assets received or held are </w:t>
      </w:r>
      <w:r w:rsidR="00DA4B88" w:rsidRPr="00325420">
        <w:rPr>
          <w:i/>
        </w:rPr>
        <w:t>readily convertible</w:t>
      </w:r>
      <w:r w:rsidR="00DA4B88">
        <w:t xml:space="preserve"> to known amounts of cash or claims to cash.</w:t>
      </w:r>
    </w:p>
    <w:p w:rsidR="00DA4B88" w:rsidRDefault="00DA4B88" w:rsidP="00F112FC">
      <w:pPr>
        <w:pStyle w:val="6pt"/>
      </w:pPr>
    </w:p>
    <w:p w:rsidR="00DA4B88" w:rsidRDefault="00250171" w:rsidP="00250171">
      <w:pPr>
        <w:pStyle w:val="NumList"/>
      </w:pPr>
      <w:r>
        <w:t>(b)</w:t>
      </w:r>
      <w:r>
        <w:tab/>
      </w:r>
      <w:r w:rsidR="00DA4B88">
        <w:t>Being earned. Revenue is not recognized until earned. A company</w:t>
      </w:r>
      <w:r w:rsidR="0077707C">
        <w:t>’</w:t>
      </w:r>
      <w:r w:rsidR="00DA4B88">
        <w:t>s revenue-earning activities involve delivering or producing goods, rendering services, or other activities that constitute its ongoing major or central operations, and revenue is considered to have been earned when the company has substantially accomplished what it must do to be entitled to the benefits represented by the revenue.</w:t>
      </w:r>
    </w:p>
    <w:p w:rsidR="00DA4B88" w:rsidRDefault="00DA4B88" w:rsidP="00E230D4">
      <w:pPr>
        <w:pStyle w:val="text"/>
      </w:pPr>
    </w:p>
    <w:p w:rsidR="00DA4B88" w:rsidRDefault="00DA4B88" w:rsidP="00E230D4">
      <w:pPr>
        <w:pStyle w:val="text"/>
      </w:pPr>
      <w:r>
        <w:t>This is a summary. The complete GAAP may be found at ASC 605-10-25-1.</w:t>
      </w:r>
    </w:p>
    <w:p w:rsidR="00DB6794" w:rsidRDefault="00DB6794" w:rsidP="00E230D4">
      <w:pPr>
        <w:pStyle w:val="text"/>
        <w:rPr>
          <w:szCs w:val="24"/>
        </w:rPr>
      </w:pPr>
    </w:p>
    <w:p w:rsidR="00B82A2F" w:rsidRPr="00C16A9F" w:rsidRDefault="00B82A2F" w:rsidP="00E230D4">
      <w:pPr>
        <w:pStyle w:val="text"/>
      </w:pPr>
      <w:r w:rsidRPr="00C16A9F">
        <w:t xml:space="preserve">The Codification is located at </w:t>
      </w:r>
      <w:hyperlink r:id="rId13" w:history="1">
        <w:r w:rsidRPr="00C16A9F">
          <w:rPr>
            <w:rStyle w:val="Hyperlink"/>
            <w:color w:val="auto"/>
          </w:rPr>
          <w:t>http://asc.fasb.org</w:t>
        </w:r>
      </w:hyperlink>
      <w:r w:rsidRPr="00C16A9F">
        <w:t xml:space="preserve">. (or, if your institution participates in the American Accounting Association academic access initiate, at </w:t>
      </w:r>
      <w:hyperlink r:id="rId14" w:history="1">
        <w:r w:rsidR="00C16A9F" w:rsidRPr="00C16A9F">
          <w:rPr>
            <w:rStyle w:val="Hyperlink"/>
            <w:color w:val="auto"/>
          </w:rPr>
          <w:t>http://aaahq.org/ascLogin.</w:t>
        </w:r>
        <w:r w:rsidR="00C16A9F" w:rsidRPr="00C16A9F">
          <w:rPr>
            <w:rStyle w:val="Hyperlink"/>
            <w:color w:val="auto"/>
          </w:rPr>
          <w:br/>
          <w:t>cfm</w:t>
        </w:r>
      </w:hyperlink>
      <w:r w:rsidRPr="00C16A9F">
        <w:t xml:space="preserve">). All users must register before they can log in. After logging in, the </w:t>
      </w:r>
      <w:r w:rsidR="00877D51" w:rsidRPr="00C16A9F">
        <w:t>“</w:t>
      </w:r>
      <w:r w:rsidRPr="00C16A9F">
        <w:t>home page</w:t>
      </w:r>
      <w:r w:rsidR="00877D51" w:rsidRPr="00C16A9F">
        <w:t>”</w:t>
      </w:r>
      <w:r w:rsidRPr="00C16A9F">
        <w:t xml:space="preserve"> provides a notice to constituents, links to tutorials, instructions on how to </w:t>
      </w:r>
      <w:r w:rsidR="00877D51" w:rsidRPr="00C16A9F">
        <w:t>“</w:t>
      </w:r>
      <w:r w:rsidRPr="00C16A9F">
        <w:t>join sections,</w:t>
      </w:r>
      <w:r w:rsidR="00877D51" w:rsidRPr="00C16A9F">
        <w:t>”</w:t>
      </w:r>
      <w:r w:rsidRPr="00C16A9F">
        <w:t xml:space="preserve"> and explanations of how to cross reference the Codification sections to the original pronouncements. The framework of the Codification contains six components or levels: (1) Areas, (2) Topics, (3) Subtopics, (4) Sections, (5) Subsections, and (6) Paragraphs containing GAAP. The </w:t>
      </w:r>
      <w:r w:rsidRPr="00C16A9F">
        <w:rPr>
          <w:i/>
        </w:rPr>
        <w:t>Areas</w:t>
      </w:r>
      <w:r w:rsidRPr="00C16A9F">
        <w:t xml:space="preserve"> component is located on the left side of the home page, and contains links to nine broad accounting subjects which include </w:t>
      </w:r>
      <w:r w:rsidRPr="00C16A9F">
        <w:rPr>
          <w:i/>
        </w:rPr>
        <w:t>General Principles, Presentation</w:t>
      </w:r>
      <w:r w:rsidRPr="00C16A9F">
        <w:t>,</w:t>
      </w:r>
      <w:r w:rsidR="00FE0D30" w:rsidRPr="00C16A9F">
        <w:t xml:space="preserve"> </w:t>
      </w:r>
      <w:r w:rsidRPr="00C16A9F">
        <w:rPr>
          <w:i/>
        </w:rPr>
        <w:t>Assets</w:t>
      </w:r>
      <w:r w:rsidRPr="00C16A9F">
        <w:t xml:space="preserve">, </w:t>
      </w:r>
      <w:r w:rsidRPr="00C16A9F">
        <w:rPr>
          <w:i/>
        </w:rPr>
        <w:t>Liabilities</w:t>
      </w:r>
      <w:r w:rsidRPr="00C16A9F">
        <w:t xml:space="preserve">, </w:t>
      </w:r>
      <w:r w:rsidRPr="00C16A9F">
        <w:rPr>
          <w:i/>
        </w:rPr>
        <w:t>Equity</w:t>
      </w:r>
      <w:r w:rsidRPr="00C16A9F">
        <w:t xml:space="preserve">, </w:t>
      </w:r>
      <w:r w:rsidRPr="00C16A9F">
        <w:rPr>
          <w:i/>
        </w:rPr>
        <w:t>Revenue</w:t>
      </w:r>
      <w:r w:rsidRPr="00C16A9F">
        <w:t xml:space="preserve">, </w:t>
      </w:r>
      <w:r w:rsidRPr="00C16A9F">
        <w:rPr>
          <w:i/>
        </w:rPr>
        <w:t>Expenses</w:t>
      </w:r>
      <w:r w:rsidRPr="00C16A9F">
        <w:t xml:space="preserve">, </w:t>
      </w:r>
      <w:r w:rsidRPr="00C16A9F">
        <w:rPr>
          <w:i/>
        </w:rPr>
        <w:t>Broad Transactions</w:t>
      </w:r>
      <w:r w:rsidRPr="00C16A9F">
        <w:t xml:space="preserve">, and </w:t>
      </w:r>
      <w:r w:rsidRPr="00C16A9F">
        <w:rPr>
          <w:i/>
        </w:rPr>
        <w:t>Industry</w:t>
      </w:r>
      <w:r w:rsidRPr="00C16A9F">
        <w:t xml:space="preserve">, along with a </w:t>
      </w:r>
      <w:r w:rsidRPr="00C16A9F">
        <w:rPr>
          <w:i/>
        </w:rPr>
        <w:t>Master Glossary</w:t>
      </w:r>
      <w:r w:rsidRPr="00C16A9F">
        <w:t xml:space="preserve"> link and a </w:t>
      </w:r>
      <w:r w:rsidR="00877D51" w:rsidRPr="00C16A9F">
        <w:t>“</w:t>
      </w:r>
      <w:r w:rsidRPr="00C16A9F">
        <w:rPr>
          <w:i/>
        </w:rPr>
        <w:t>Go To</w:t>
      </w:r>
      <w:r w:rsidR="00877D51" w:rsidRPr="00C16A9F">
        <w:t>”</w:t>
      </w:r>
      <w:r w:rsidRPr="00C16A9F">
        <w:t xml:space="preserve"> box for users familiar with the Codification numbering system.</w:t>
      </w:r>
    </w:p>
    <w:p w:rsidR="0027430D" w:rsidRDefault="0027430D">
      <w:pPr>
        <w:widowControl/>
        <w:autoSpaceDE/>
        <w:autoSpaceDN/>
        <w:adjustRightInd/>
        <w:rPr>
          <w:rFonts w:cs="Arial"/>
          <w:b/>
          <w:szCs w:val="22"/>
          <w:u w:val="single"/>
        </w:rPr>
      </w:pPr>
      <w:r>
        <w:rPr>
          <w:b/>
          <w:u w:val="single"/>
        </w:rPr>
        <w:br w:type="page"/>
      </w:r>
    </w:p>
    <w:p w:rsidR="0027430D" w:rsidRPr="00A85F85" w:rsidRDefault="0027430D" w:rsidP="0027430D">
      <w:pPr>
        <w:pStyle w:val="text"/>
        <w:rPr>
          <w:b/>
          <w:u w:val="single"/>
        </w:rPr>
      </w:pPr>
      <w:r w:rsidRPr="00A85F85">
        <w:rPr>
          <w:b/>
          <w:u w:val="single"/>
        </w:rPr>
        <w:lastRenderedPageBreak/>
        <w:t>C1-1</w:t>
      </w:r>
      <w:r>
        <w:rPr>
          <w:b/>
          <w:u w:val="single"/>
        </w:rPr>
        <w:t>4</w:t>
      </w:r>
      <w:r w:rsidRPr="00875828">
        <w:rPr>
          <w:b/>
        </w:rPr>
        <w:t xml:space="preserve"> (con</w:t>
      </w:r>
      <w:r>
        <w:rPr>
          <w:b/>
        </w:rPr>
        <w:t>cl</w:t>
      </w:r>
      <w:r w:rsidRPr="00875828">
        <w:rPr>
          <w:b/>
        </w:rPr>
        <w:t>u</w:t>
      </w:r>
      <w:r>
        <w:rPr>
          <w:b/>
        </w:rPr>
        <w:t>d</w:t>
      </w:r>
      <w:r w:rsidRPr="00875828">
        <w:rPr>
          <w:b/>
        </w:rPr>
        <w:t>ed)</w:t>
      </w:r>
    </w:p>
    <w:p w:rsidR="00B82A2F" w:rsidRDefault="00B82A2F" w:rsidP="00E230D4">
      <w:pPr>
        <w:pStyle w:val="text"/>
      </w:pPr>
    </w:p>
    <w:p w:rsidR="00B82A2F" w:rsidRDefault="00B82A2F" w:rsidP="00E230D4">
      <w:pPr>
        <w:pStyle w:val="text"/>
      </w:pPr>
      <w:r>
        <w:t xml:space="preserve">The Topics, Subtopics, Sections, Subsections, and Paragraphs are considered descending </w:t>
      </w:r>
      <w:r w:rsidR="00877D51">
        <w:t>“</w:t>
      </w:r>
      <w:r>
        <w:t>levels</w:t>
      </w:r>
      <w:r w:rsidR="00877D51">
        <w:t>”</w:t>
      </w:r>
      <w:r>
        <w:t xml:space="preserve"> of the Codification database, and each item in each level is numbered for reference and search purposes. The Topics level is accessed by clicking on the Area </w:t>
      </w:r>
      <w:r w:rsidR="00877D51">
        <w:t>“</w:t>
      </w:r>
      <w:r>
        <w:t>subject</w:t>
      </w:r>
      <w:r w:rsidR="00877D51">
        <w:t>”</w:t>
      </w:r>
      <w:r>
        <w:t xml:space="preserve"> links on the Codification homepage. The following is an explanation of the descending order of the levels within each Area.</w:t>
      </w:r>
    </w:p>
    <w:p w:rsidR="00B82A2F" w:rsidRDefault="00B82A2F" w:rsidP="00250171">
      <w:pPr>
        <w:pStyle w:val="textbulletedlist"/>
      </w:pPr>
      <w:r w:rsidRPr="0000065A">
        <w:rPr>
          <w:u w:val="single"/>
        </w:rPr>
        <w:t xml:space="preserve">Topics </w:t>
      </w:r>
      <w:r>
        <w:t>involve a collection of related guidance on a particular subject area (e.g. Assets).</w:t>
      </w:r>
    </w:p>
    <w:p w:rsidR="00B82A2F" w:rsidRDefault="00B82A2F" w:rsidP="00250171">
      <w:pPr>
        <w:pStyle w:val="textbulletedlist"/>
      </w:pPr>
      <w:r w:rsidRPr="0000065A">
        <w:rPr>
          <w:u w:val="single"/>
        </w:rPr>
        <w:t xml:space="preserve">Subtopics </w:t>
      </w:r>
      <w:r>
        <w:t xml:space="preserve">are subsets of a Topic and generally are distinguished by </w:t>
      </w:r>
      <w:r w:rsidR="00877D51">
        <w:t>“</w:t>
      </w:r>
      <w:r>
        <w:t>type</w:t>
      </w:r>
      <w:r w:rsidR="00877D51">
        <w:t>”</w:t>
      </w:r>
      <w:r>
        <w:t xml:space="preserve"> or by </w:t>
      </w:r>
      <w:r w:rsidR="00877D51">
        <w:t>“</w:t>
      </w:r>
      <w:r>
        <w:t>scope</w:t>
      </w:r>
      <w:r w:rsidR="00877D51">
        <w:t>”</w:t>
      </w:r>
      <w:r>
        <w:t xml:space="preserve"> (e.g., under the Leases Topic, there are Subtopics for Operating Leases and Capital Leases, because they are different types of Leases).</w:t>
      </w:r>
    </w:p>
    <w:p w:rsidR="00B82A2F" w:rsidRDefault="00B82A2F" w:rsidP="00250171">
      <w:pPr>
        <w:pStyle w:val="textbulletedlist"/>
      </w:pPr>
      <w:r w:rsidRPr="0000065A">
        <w:rPr>
          <w:u w:val="single"/>
        </w:rPr>
        <w:t xml:space="preserve">Sections </w:t>
      </w:r>
      <w:r>
        <w:t>characterize the nature of the content in a Subtopic (e.g., Recognition, Measurement, Disclosure).</w:t>
      </w:r>
    </w:p>
    <w:p w:rsidR="00B82A2F" w:rsidRDefault="00B82A2F" w:rsidP="00250171">
      <w:pPr>
        <w:pStyle w:val="textbulletedlist"/>
      </w:pPr>
      <w:r w:rsidRPr="0000065A">
        <w:rPr>
          <w:u w:val="single"/>
        </w:rPr>
        <w:t>Subsections</w:t>
      </w:r>
      <w:r>
        <w:t xml:space="preserve"> refine and breakdown Sections into narrower and more specific items.</w:t>
      </w:r>
      <w:r w:rsidRPr="00255EDC">
        <w:t xml:space="preserve"> </w:t>
      </w:r>
      <w:r>
        <w:t xml:space="preserve">If a Subsection is necessary, it is </w:t>
      </w:r>
      <w:r w:rsidRPr="00325420">
        <w:rPr>
          <w:i/>
        </w:rPr>
        <w:t>not</w:t>
      </w:r>
      <w:r>
        <w:t xml:space="preserve"> numbered but does include the Paragraphs that contain the guidance that constitutes GAAP.</w:t>
      </w:r>
    </w:p>
    <w:p w:rsidR="00F112FC" w:rsidRPr="00F112FC" w:rsidRDefault="00B82A2F" w:rsidP="0091797B">
      <w:pPr>
        <w:pStyle w:val="textbulletedlist"/>
        <w:widowControl/>
        <w:autoSpaceDE/>
        <w:autoSpaceDN/>
        <w:adjustRightInd/>
        <w:rPr>
          <w:b/>
          <w:u w:val="single"/>
        </w:rPr>
      </w:pPr>
      <w:r w:rsidRPr="0091797B">
        <w:rPr>
          <w:u w:val="single"/>
        </w:rPr>
        <w:t>Paragraphs</w:t>
      </w:r>
      <w:r>
        <w:t xml:space="preserve"> contain the guidance that constitutes GAAP.</w:t>
      </w:r>
    </w:p>
    <w:p w:rsidR="00875828" w:rsidRPr="00B53299" w:rsidRDefault="00875828" w:rsidP="00875828">
      <w:pPr>
        <w:pStyle w:val="text"/>
        <w:rPr>
          <w:rFonts w:cs="Times"/>
        </w:rPr>
      </w:pPr>
    </w:p>
    <w:p w:rsidR="00255EDC" w:rsidRDefault="00B82A2F" w:rsidP="00E230D4">
      <w:pPr>
        <w:pStyle w:val="text"/>
      </w:pPr>
      <w:r>
        <w:t xml:space="preserve">To find the GAAP for a particular accounting issue, after logging in you would go to the Area links in the left column of the homepage and click on an Area (e.g., Assets). This would bring you to a menu of Topics, after which you would click on one </w:t>
      </w:r>
      <w:r w:rsidR="001F1E35">
        <w:t>t</w:t>
      </w:r>
      <w:r>
        <w:t xml:space="preserve">opic. This would bring you to a menu containing Subtopics. After clicking on a Subtopic, this would bring you to a menu containing several Sections. Here, you would have to decide which Section is most likely to contain the answer to your question. You would click on that Section, which would bring you to the paragraphs containing the answer (GAAP) for your question. This completes your search. If you wanted to reference this answer, you would indicate that it can be found by listing the Topic, Subtopic, Section, and paragraph numbers (e.g., ASC 605-10-25-1). Now, suppose you had left this screen and wanted to go back to this paragraph. To save time, you could enter 605-10-25-1 in the </w:t>
      </w:r>
      <w:r w:rsidR="00877D51">
        <w:t>“</w:t>
      </w:r>
      <w:r>
        <w:t>Go To</w:t>
      </w:r>
      <w:r w:rsidR="00877D51">
        <w:t>”</w:t>
      </w:r>
      <w:r>
        <w:t xml:space="preserve"> box on the homepage, and it would bring you directly to the paragraph.</w:t>
      </w:r>
    </w:p>
    <w:p w:rsidR="001F1E35" w:rsidRPr="00255EDC" w:rsidRDefault="001F1E35" w:rsidP="00E230D4">
      <w:pPr>
        <w:pStyle w:val="text"/>
      </w:pPr>
    </w:p>
    <w:sectPr w:rsidR="001F1E35" w:rsidRPr="00255EDC" w:rsidSect="001F1E35">
      <w:headerReference w:type="default" r:id="rId15"/>
      <w:footerReference w:type="default" r:id="rId16"/>
      <w:endnotePr>
        <w:numFmt w:val="decimal"/>
      </w:endnotePr>
      <w:pgSz w:w="12240" w:h="15840" w:code="1"/>
      <w:pgMar w:top="1440" w:right="1440" w:bottom="1440" w:left="1440" w:header="1440" w:footer="86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789" w:rsidRDefault="00C72789" w:rsidP="00DB6794">
      <w:r>
        <w:separator/>
      </w:r>
    </w:p>
  </w:endnote>
  <w:endnote w:type="continuationSeparator" w:id="1">
    <w:p w:rsidR="00C72789" w:rsidRDefault="00C72789" w:rsidP="00DB6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54" w:rsidRPr="001078C4" w:rsidRDefault="00783954" w:rsidP="00783954">
    <w:pPr>
      <w:pStyle w:val="PageNo"/>
    </w:pPr>
    <w:r w:rsidRPr="001078C4">
      <w:t>1-</w:t>
    </w:r>
    <w:fldSimple w:instr="PAGE ">
      <w:r w:rsidR="00F80338">
        <w:rPr>
          <w:noProof/>
        </w:rPr>
        <w:t>26</w:t>
      </w:r>
    </w:fldSimple>
  </w:p>
  <w:p w:rsidR="00783954" w:rsidRPr="003E280E" w:rsidRDefault="00783954" w:rsidP="00783954">
    <w:pPr>
      <w:pStyle w:val="Copyright"/>
    </w:pPr>
    <w:r w:rsidRPr="003E280E">
      <w:t>© 2013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789" w:rsidRDefault="00C72789" w:rsidP="00DB6794">
      <w:r>
        <w:separator/>
      </w:r>
    </w:p>
  </w:footnote>
  <w:footnote w:type="continuationSeparator" w:id="1">
    <w:p w:rsidR="00C72789" w:rsidRDefault="00C72789" w:rsidP="00DB6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1E" w:rsidRDefault="00E95BE3">
    <w:pPr>
      <w:pStyle w:val="Header"/>
    </w:pPr>
    <w:r>
      <w:rPr>
        <w:noProof/>
      </w:rPr>
      <w:pict>
        <v:shapetype id="_x0000_t202" coordsize="21600,21600" o:spt="202" path="m,l,21600r21600,l21600,xe">
          <v:stroke joinstyle="miter"/>
          <v:path gradientshapeok="t" o:connecttype="rect"/>
        </v:shapetype>
        <v:shape id="_x0000_s52227" type="#_x0000_t202" style="position:absolute;margin-left:-44.65pt;margin-top:7.1pt;width:36.65pt;height:470pt;z-index:251660288;mso-wrap-style:none" stroked="f">
          <v:textbox style="layout-flow:vertical;mso-fit-shape-to-text:t">
            <w:txbxContent>
              <w:p w:rsidR="00A93A1E" w:rsidRPr="001078C4" w:rsidRDefault="00A93A1E" w:rsidP="00793520">
                <w:pPr>
                  <w:pStyle w:val="PageNo"/>
                </w:pPr>
                <w:r w:rsidRPr="001078C4">
                  <w:t>1-</w:t>
                </w:r>
                <w:r w:rsidR="00E95BE3">
                  <w:fldChar w:fldCharType="begin"/>
                </w:r>
                <w:r>
                  <w:instrText xml:space="preserve">PAGE </w:instrText>
                </w:r>
                <w:r w:rsidR="00E95BE3">
                  <w:fldChar w:fldCharType="separate"/>
                </w:r>
                <w:r w:rsidR="00F80338">
                  <w:rPr>
                    <w:noProof/>
                  </w:rPr>
                  <w:t>1</w:t>
                </w:r>
                <w:r w:rsidR="00E95BE3">
                  <w:fldChar w:fldCharType="end"/>
                </w:r>
              </w:p>
              <w:p w:rsidR="00A93A1E" w:rsidRPr="003718F0" w:rsidRDefault="00A93A1E" w:rsidP="003718F0">
                <w:pPr>
                  <w:pStyle w:val="Copyright"/>
                </w:pPr>
                <w:r w:rsidRPr="003E280E">
                  <w:t>© 2013 Cengage Learning. All Rights Reserved. May not be scanned, copied or duplicated, or posted to a publicly accessible website, in whole or in part.</w: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54" w:rsidRDefault="00783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2BF"/>
    <w:multiLevelType w:val="hybridMultilevel"/>
    <w:tmpl w:val="61848820"/>
    <w:lvl w:ilvl="0" w:tplc="F438BF4C">
      <w:start w:val="5"/>
      <w:numFmt w:val="decimal"/>
      <w:lvlText w:val="%1."/>
      <w:lvlJc w:val="left"/>
      <w:pPr>
        <w:tabs>
          <w:tab w:val="num" w:pos="1555"/>
        </w:tabs>
        <w:ind w:left="1555" w:hanging="360"/>
      </w:pPr>
      <w:rPr>
        <w:rFonts w:hint="default"/>
      </w:r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
    <w:nsid w:val="03DF1F75"/>
    <w:multiLevelType w:val="hybridMultilevel"/>
    <w:tmpl w:val="80B4E5FC"/>
    <w:lvl w:ilvl="0" w:tplc="2D48B35C">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DE13367"/>
    <w:multiLevelType w:val="hybridMultilevel"/>
    <w:tmpl w:val="712E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C32AF"/>
    <w:multiLevelType w:val="hybridMultilevel"/>
    <w:tmpl w:val="B1B02BB0"/>
    <w:lvl w:ilvl="0" w:tplc="77265776">
      <w:start w:val="1"/>
      <w:numFmt w:val="bullet"/>
      <w:pStyle w:val="tex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A4C56"/>
    <w:multiLevelType w:val="hybridMultilevel"/>
    <w:tmpl w:val="8B62CD4C"/>
    <w:lvl w:ilvl="0" w:tplc="ACF84814">
      <w:start w:val="1"/>
      <w:numFmt w:val="none"/>
      <w:lvlText w:val="C1-4"/>
      <w:lvlJc w:val="left"/>
      <w:pPr>
        <w:tabs>
          <w:tab w:val="num" w:pos="360"/>
        </w:tabs>
        <w:ind w:left="360" w:hanging="360"/>
      </w:pPr>
      <w:rPr>
        <w:rFonts w:cs="Times New Roman" w:hint="default"/>
        <w:b/>
      </w:rPr>
    </w:lvl>
    <w:lvl w:ilvl="1" w:tplc="3C8AC872">
      <w:start w:val="1"/>
      <w:numFmt w:val="upperLetter"/>
      <w:lvlText w:val="%2."/>
      <w:lvlJc w:val="left"/>
      <w:pPr>
        <w:tabs>
          <w:tab w:val="num" w:pos="360"/>
        </w:tabs>
        <w:ind w:left="360" w:hanging="360"/>
      </w:pPr>
      <w:rPr>
        <w:rFonts w:cs="Arial" w:hint="default"/>
        <w:b w:val="0"/>
        <w:i w:val="0"/>
        <w:color w:val="auto"/>
        <w:sz w:val="24"/>
        <w:szCs w:val="24"/>
      </w:rPr>
    </w:lvl>
    <w:lvl w:ilvl="2" w:tplc="2CAC31B2">
      <w:start w:val="1"/>
      <w:numFmt w:val="decimal"/>
      <w:lvlText w:val="%3."/>
      <w:lvlJc w:val="left"/>
      <w:pPr>
        <w:tabs>
          <w:tab w:val="num" w:pos="360"/>
        </w:tabs>
        <w:ind w:left="360" w:hanging="360"/>
      </w:pPr>
      <w:rPr>
        <w:rFonts w:cs="Times New Roman" w:hint="default"/>
        <w:i w:val="0"/>
      </w:rPr>
    </w:lvl>
    <w:lvl w:ilvl="3" w:tplc="0C708FA0">
      <w:start w:val="1"/>
      <w:numFmt w:val="none"/>
      <w:lvlText w:val="C1-3"/>
      <w:lvlJc w:val="left"/>
      <w:pPr>
        <w:tabs>
          <w:tab w:val="num" w:pos="360"/>
        </w:tabs>
        <w:ind w:left="36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A01AC6"/>
    <w:multiLevelType w:val="hybridMultilevel"/>
    <w:tmpl w:val="1D60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8B7000"/>
    <w:multiLevelType w:val="hybridMultilevel"/>
    <w:tmpl w:val="0EC8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02946"/>
    <w:multiLevelType w:val="multilevel"/>
    <w:tmpl w:val="20AE18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39A35C93"/>
    <w:multiLevelType w:val="hybridMultilevel"/>
    <w:tmpl w:val="7C9CDAF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3AEC3B1B"/>
    <w:multiLevelType w:val="hybridMultilevel"/>
    <w:tmpl w:val="90823D6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nsid w:val="3C9B3FC8"/>
    <w:multiLevelType w:val="hybridMultilevel"/>
    <w:tmpl w:val="36E43B0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1">
    <w:nsid w:val="48551F74"/>
    <w:multiLevelType w:val="hybridMultilevel"/>
    <w:tmpl w:val="894813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7602F3"/>
    <w:multiLevelType w:val="hybridMultilevel"/>
    <w:tmpl w:val="B4D00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128F3"/>
    <w:multiLevelType w:val="hybridMultilevel"/>
    <w:tmpl w:val="C8E23076"/>
    <w:lvl w:ilvl="0" w:tplc="9D6013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151F30"/>
    <w:multiLevelType w:val="hybridMultilevel"/>
    <w:tmpl w:val="88244D10"/>
    <w:lvl w:ilvl="0" w:tplc="0AE2F0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0956C1"/>
    <w:multiLevelType w:val="hybridMultilevel"/>
    <w:tmpl w:val="EAC8814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E077B86"/>
    <w:multiLevelType w:val="hybridMultilevel"/>
    <w:tmpl w:val="4D5A01F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612F10F8"/>
    <w:multiLevelType w:val="hybridMultilevel"/>
    <w:tmpl w:val="12767F56"/>
    <w:lvl w:ilvl="0" w:tplc="C55CEC24">
      <w:start w:val="1"/>
      <w:numFmt w:val="decimal"/>
      <w:lvlText w:val="Q1-%1"/>
      <w:lvlJc w:val="left"/>
      <w:pPr>
        <w:tabs>
          <w:tab w:val="num" w:pos="1080"/>
        </w:tabs>
        <w:ind w:left="0" w:firstLine="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7F0B8C"/>
    <w:multiLevelType w:val="hybridMultilevel"/>
    <w:tmpl w:val="4F4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F35D7"/>
    <w:multiLevelType w:val="hybridMultilevel"/>
    <w:tmpl w:val="1A2A20D0"/>
    <w:lvl w:ilvl="0" w:tplc="7990023C">
      <w:start w:val="1"/>
      <w:numFmt w:val="none"/>
      <w:lvlText w:val="C1-8"/>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33213E9"/>
    <w:multiLevelType w:val="hybridMultilevel"/>
    <w:tmpl w:val="47B2C42C"/>
    <w:lvl w:ilvl="0" w:tplc="8374594A">
      <w:start w:val="1"/>
      <w:numFmt w:val="bullet"/>
      <w:pStyle w:val="QAbullett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D6C0B"/>
    <w:multiLevelType w:val="hybridMultilevel"/>
    <w:tmpl w:val="53428CA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
  </w:num>
  <w:num w:numId="3">
    <w:abstractNumId w:val="8"/>
  </w:num>
  <w:num w:numId="4">
    <w:abstractNumId w:val="14"/>
  </w:num>
  <w:num w:numId="5">
    <w:abstractNumId w:val="0"/>
  </w:num>
  <w:num w:numId="6">
    <w:abstractNumId w:val="12"/>
  </w:num>
  <w:num w:numId="7">
    <w:abstractNumId w:val="21"/>
  </w:num>
  <w:num w:numId="8">
    <w:abstractNumId w:val="13"/>
  </w:num>
  <w:num w:numId="9">
    <w:abstractNumId w:val="17"/>
  </w:num>
  <w:num w:numId="10">
    <w:abstractNumId w:val="15"/>
  </w:num>
  <w:num w:numId="11">
    <w:abstractNumId w:val="16"/>
  </w:num>
  <w:num w:numId="12">
    <w:abstractNumId w:val="10"/>
  </w:num>
  <w:num w:numId="13">
    <w:abstractNumId w:val="4"/>
  </w:num>
  <w:num w:numId="14">
    <w:abstractNumId w:val="19"/>
  </w:num>
  <w:num w:numId="15">
    <w:abstractNumId w:val="6"/>
  </w:num>
  <w:num w:numId="16">
    <w:abstractNumId w:val="2"/>
  </w:num>
  <w:num w:numId="17">
    <w:abstractNumId w:val="5"/>
  </w:num>
  <w:num w:numId="18">
    <w:abstractNumId w:val="9"/>
  </w:num>
  <w:num w:numId="19">
    <w:abstractNumId w:val="7"/>
  </w:num>
  <w:num w:numId="20">
    <w:abstractNumId w:val="18"/>
  </w:num>
  <w:num w:numId="21">
    <w:abstractNumId w:val="20"/>
  </w:num>
  <w:num w:numId="22">
    <w:abstractNumId w:val="3"/>
  </w:num>
  <w:num w:numId="23">
    <w:abstractNumId w:val="20"/>
  </w:num>
  <w:num w:numId="24">
    <w:abstractNumId w:val="20"/>
  </w:num>
  <w:num w:numId="25">
    <w:abstractNumId w:val="2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9634">
      <o:colormenu v:ext="edit" strokecolor="none"/>
    </o:shapedefaults>
    <o:shapelayout v:ext="edit">
      <o:idmap v:ext="edit" data="51"/>
    </o:shapelayout>
  </w:hdrShapeDefaults>
  <w:footnotePr>
    <w:footnote w:id="0"/>
    <w:footnote w:id="1"/>
  </w:footnotePr>
  <w:endnotePr>
    <w:numFmt w:val="decimal"/>
    <w:endnote w:id="0"/>
    <w:endnote w:id="1"/>
  </w:endnotePr>
  <w:compat/>
  <w:rsids>
    <w:rsidRoot w:val="00401D3E"/>
    <w:rsid w:val="0000065A"/>
    <w:rsid w:val="00000AA8"/>
    <w:rsid w:val="000028F7"/>
    <w:rsid w:val="00004942"/>
    <w:rsid w:val="00006997"/>
    <w:rsid w:val="00006E13"/>
    <w:rsid w:val="000116EF"/>
    <w:rsid w:val="00011B86"/>
    <w:rsid w:val="0001660F"/>
    <w:rsid w:val="000320FD"/>
    <w:rsid w:val="000368AB"/>
    <w:rsid w:val="0004575D"/>
    <w:rsid w:val="00057702"/>
    <w:rsid w:val="00061A7E"/>
    <w:rsid w:val="000668F1"/>
    <w:rsid w:val="00067754"/>
    <w:rsid w:val="0006775E"/>
    <w:rsid w:val="000766A6"/>
    <w:rsid w:val="00080AEE"/>
    <w:rsid w:val="000861C7"/>
    <w:rsid w:val="0009000A"/>
    <w:rsid w:val="000908EB"/>
    <w:rsid w:val="0009107A"/>
    <w:rsid w:val="00091C7A"/>
    <w:rsid w:val="000959AB"/>
    <w:rsid w:val="00097FDE"/>
    <w:rsid w:val="000A1B5D"/>
    <w:rsid w:val="000A5400"/>
    <w:rsid w:val="000A6F7C"/>
    <w:rsid w:val="000B37AC"/>
    <w:rsid w:val="000C212D"/>
    <w:rsid w:val="000D1D7E"/>
    <w:rsid w:val="000D63B8"/>
    <w:rsid w:val="000D778D"/>
    <w:rsid w:val="000E67CA"/>
    <w:rsid w:val="000E6FE1"/>
    <w:rsid w:val="000F1558"/>
    <w:rsid w:val="00101FA0"/>
    <w:rsid w:val="001022E6"/>
    <w:rsid w:val="001056B8"/>
    <w:rsid w:val="001078C4"/>
    <w:rsid w:val="00110B91"/>
    <w:rsid w:val="00111D94"/>
    <w:rsid w:val="0011459D"/>
    <w:rsid w:val="001210DC"/>
    <w:rsid w:val="001244FC"/>
    <w:rsid w:val="0012553A"/>
    <w:rsid w:val="00126D6E"/>
    <w:rsid w:val="001271B0"/>
    <w:rsid w:val="001302CB"/>
    <w:rsid w:val="00134691"/>
    <w:rsid w:val="00142006"/>
    <w:rsid w:val="0014259E"/>
    <w:rsid w:val="00144F4E"/>
    <w:rsid w:val="00147384"/>
    <w:rsid w:val="00147EA0"/>
    <w:rsid w:val="001569FF"/>
    <w:rsid w:val="0016292B"/>
    <w:rsid w:val="00164E49"/>
    <w:rsid w:val="00183A9C"/>
    <w:rsid w:val="001933FC"/>
    <w:rsid w:val="00196EA9"/>
    <w:rsid w:val="001A0303"/>
    <w:rsid w:val="001A1B1A"/>
    <w:rsid w:val="001A3C19"/>
    <w:rsid w:val="001A7117"/>
    <w:rsid w:val="001A7A33"/>
    <w:rsid w:val="001B1F73"/>
    <w:rsid w:val="001B229B"/>
    <w:rsid w:val="001C016C"/>
    <w:rsid w:val="001C24DC"/>
    <w:rsid w:val="001C32A9"/>
    <w:rsid w:val="001C5A18"/>
    <w:rsid w:val="001C7502"/>
    <w:rsid w:val="001D038C"/>
    <w:rsid w:val="001D5014"/>
    <w:rsid w:val="001E2040"/>
    <w:rsid w:val="001F1E35"/>
    <w:rsid w:val="001F22EC"/>
    <w:rsid w:val="001F3D20"/>
    <w:rsid w:val="002011E3"/>
    <w:rsid w:val="00210B1E"/>
    <w:rsid w:val="0021732D"/>
    <w:rsid w:val="002401D5"/>
    <w:rsid w:val="0024035E"/>
    <w:rsid w:val="002432E7"/>
    <w:rsid w:val="002470C0"/>
    <w:rsid w:val="002472AF"/>
    <w:rsid w:val="00250171"/>
    <w:rsid w:val="002523CF"/>
    <w:rsid w:val="002542AE"/>
    <w:rsid w:val="00254DCB"/>
    <w:rsid w:val="002553BF"/>
    <w:rsid w:val="00255EDC"/>
    <w:rsid w:val="00260381"/>
    <w:rsid w:val="002611FF"/>
    <w:rsid w:val="002725A2"/>
    <w:rsid w:val="0027414A"/>
    <w:rsid w:val="0027430D"/>
    <w:rsid w:val="00275E2F"/>
    <w:rsid w:val="00277E7A"/>
    <w:rsid w:val="00283566"/>
    <w:rsid w:val="002837F0"/>
    <w:rsid w:val="00285F32"/>
    <w:rsid w:val="00293A3A"/>
    <w:rsid w:val="00295BF8"/>
    <w:rsid w:val="002A1668"/>
    <w:rsid w:val="002A2FB9"/>
    <w:rsid w:val="002A7531"/>
    <w:rsid w:val="002A7F60"/>
    <w:rsid w:val="002B70DB"/>
    <w:rsid w:val="002C25FB"/>
    <w:rsid w:val="002D2750"/>
    <w:rsid w:val="002D5BDB"/>
    <w:rsid w:val="002F1AD8"/>
    <w:rsid w:val="002F3826"/>
    <w:rsid w:val="002F4D8F"/>
    <w:rsid w:val="00301A9F"/>
    <w:rsid w:val="003042A9"/>
    <w:rsid w:val="003049A3"/>
    <w:rsid w:val="003102D0"/>
    <w:rsid w:val="00314E33"/>
    <w:rsid w:val="00325420"/>
    <w:rsid w:val="00330C8D"/>
    <w:rsid w:val="00331FA3"/>
    <w:rsid w:val="00333423"/>
    <w:rsid w:val="0033534E"/>
    <w:rsid w:val="00342172"/>
    <w:rsid w:val="0034624B"/>
    <w:rsid w:val="00350A73"/>
    <w:rsid w:val="003629A5"/>
    <w:rsid w:val="00364E0D"/>
    <w:rsid w:val="00373A9E"/>
    <w:rsid w:val="00375521"/>
    <w:rsid w:val="003778C3"/>
    <w:rsid w:val="00381DBE"/>
    <w:rsid w:val="003858AC"/>
    <w:rsid w:val="003902DC"/>
    <w:rsid w:val="00390FAF"/>
    <w:rsid w:val="00391FA5"/>
    <w:rsid w:val="003A16D2"/>
    <w:rsid w:val="003B0FED"/>
    <w:rsid w:val="003B41FD"/>
    <w:rsid w:val="003B58D0"/>
    <w:rsid w:val="003B6C39"/>
    <w:rsid w:val="003C3FB2"/>
    <w:rsid w:val="003C76E4"/>
    <w:rsid w:val="003D704C"/>
    <w:rsid w:val="003E280E"/>
    <w:rsid w:val="003E28E9"/>
    <w:rsid w:val="003E65A2"/>
    <w:rsid w:val="003F1150"/>
    <w:rsid w:val="00401D3E"/>
    <w:rsid w:val="004029B2"/>
    <w:rsid w:val="00405F93"/>
    <w:rsid w:val="00406B8C"/>
    <w:rsid w:val="004123EF"/>
    <w:rsid w:val="004125F7"/>
    <w:rsid w:val="00415526"/>
    <w:rsid w:val="004204A3"/>
    <w:rsid w:val="004221A3"/>
    <w:rsid w:val="00425B14"/>
    <w:rsid w:val="00430361"/>
    <w:rsid w:val="00436D6E"/>
    <w:rsid w:val="00450B19"/>
    <w:rsid w:val="004520C3"/>
    <w:rsid w:val="0045270A"/>
    <w:rsid w:val="00453876"/>
    <w:rsid w:val="00453E46"/>
    <w:rsid w:val="00462EE0"/>
    <w:rsid w:val="00464AF0"/>
    <w:rsid w:val="00464BED"/>
    <w:rsid w:val="00465510"/>
    <w:rsid w:val="00467B60"/>
    <w:rsid w:val="00473F4C"/>
    <w:rsid w:val="00475A52"/>
    <w:rsid w:val="00490F83"/>
    <w:rsid w:val="004930B7"/>
    <w:rsid w:val="004A2618"/>
    <w:rsid w:val="004A3168"/>
    <w:rsid w:val="004A6EE3"/>
    <w:rsid w:val="004B1BBC"/>
    <w:rsid w:val="004B2A7F"/>
    <w:rsid w:val="004B2BAF"/>
    <w:rsid w:val="004B421B"/>
    <w:rsid w:val="004C3893"/>
    <w:rsid w:val="004E6C64"/>
    <w:rsid w:val="004F32C0"/>
    <w:rsid w:val="00501D97"/>
    <w:rsid w:val="00502C6E"/>
    <w:rsid w:val="00503FCD"/>
    <w:rsid w:val="005121FA"/>
    <w:rsid w:val="00516EA9"/>
    <w:rsid w:val="005214F2"/>
    <w:rsid w:val="00525B52"/>
    <w:rsid w:val="0052656D"/>
    <w:rsid w:val="005327DE"/>
    <w:rsid w:val="00534E4E"/>
    <w:rsid w:val="00540FA6"/>
    <w:rsid w:val="005437B6"/>
    <w:rsid w:val="005438C3"/>
    <w:rsid w:val="00543F15"/>
    <w:rsid w:val="00554D01"/>
    <w:rsid w:val="00573BAD"/>
    <w:rsid w:val="0057403B"/>
    <w:rsid w:val="00581317"/>
    <w:rsid w:val="00591506"/>
    <w:rsid w:val="00595492"/>
    <w:rsid w:val="00596314"/>
    <w:rsid w:val="00596446"/>
    <w:rsid w:val="00597574"/>
    <w:rsid w:val="005A587A"/>
    <w:rsid w:val="005A5C95"/>
    <w:rsid w:val="005A5F5A"/>
    <w:rsid w:val="005A6A64"/>
    <w:rsid w:val="005A77CD"/>
    <w:rsid w:val="005B27AE"/>
    <w:rsid w:val="005B3BE4"/>
    <w:rsid w:val="005B5ECA"/>
    <w:rsid w:val="005C01C0"/>
    <w:rsid w:val="005C1440"/>
    <w:rsid w:val="005C468D"/>
    <w:rsid w:val="005D5C1F"/>
    <w:rsid w:val="005D6610"/>
    <w:rsid w:val="005E1C80"/>
    <w:rsid w:val="005F2AF3"/>
    <w:rsid w:val="005F473B"/>
    <w:rsid w:val="00601925"/>
    <w:rsid w:val="0060212E"/>
    <w:rsid w:val="0060228C"/>
    <w:rsid w:val="006107BD"/>
    <w:rsid w:val="00615B3D"/>
    <w:rsid w:val="00616316"/>
    <w:rsid w:val="00617BD3"/>
    <w:rsid w:val="006302C2"/>
    <w:rsid w:val="006345CC"/>
    <w:rsid w:val="00634D27"/>
    <w:rsid w:val="00650C05"/>
    <w:rsid w:val="006530DB"/>
    <w:rsid w:val="00654782"/>
    <w:rsid w:val="0066096A"/>
    <w:rsid w:val="006628BB"/>
    <w:rsid w:val="00662F05"/>
    <w:rsid w:val="0066321C"/>
    <w:rsid w:val="00671215"/>
    <w:rsid w:val="00674598"/>
    <w:rsid w:val="00684CE9"/>
    <w:rsid w:val="00691EF2"/>
    <w:rsid w:val="006920AF"/>
    <w:rsid w:val="006934F4"/>
    <w:rsid w:val="006A525D"/>
    <w:rsid w:val="006A7EDD"/>
    <w:rsid w:val="006B14FC"/>
    <w:rsid w:val="006B37CB"/>
    <w:rsid w:val="006B444D"/>
    <w:rsid w:val="006C27FB"/>
    <w:rsid w:val="006C4E96"/>
    <w:rsid w:val="006C6E9B"/>
    <w:rsid w:val="006D1C0C"/>
    <w:rsid w:val="006D3C0E"/>
    <w:rsid w:val="006D57C3"/>
    <w:rsid w:val="006F51F5"/>
    <w:rsid w:val="006F70CE"/>
    <w:rsid w:val="00707A2B"/>
    <w:rsid w:val="00710597"/>
    <w:rsid w:val="00710CBE"/>
    <w:rsid w:val="007130D2"/>
    <w:rsid w:val="00722920"/>
    <w:rsid w:val="00731C09"/>
    <w:rsid w:val="007322F7"/>
    <w:rsid w:val="00732D1D"/>
    <w:rsid w:val="007347E3"/>
    <w:rsid w:val="0073659B"/>
    <w:rsid w:val="00742904"/>
    <w:rsid w:val="007435AB"/>
    <w:rsid w:val="00747D02"/>
    <w:rsid w:val="00751349"/>
    <w:rsid w:val="00751B21"/>
    <w:rsid w:val="007537B0"/>
    <w:rsid w:val="00754685"/>
    <w:rsid w:val="00762272"/>
    <w:rsid w:val="00762B35"/>
    <w:rsid w:val="007708B7"/>
    <w:rsid w:val="00773A5B"/>
    <w:rsid w:val="007756D4"/>
    <w:rsid w:val="0077707C"/>
    <w:rsid w:val="00783954"/>
    <w:rsid w:val="00791118"/>
    <w:rsid w:val="00793520"/>
    <w:rsid w:val="007956B7"/>
    <w:rsid w:val="007C0F78"/>
    <w:rsid w:val="007C4102"/>
    <w:rsid w:val="007E1C70"/>
    <w:rsid w:val="007E63EE"/>
    <w:rsid w:val="0080110B"/>
    <w:rsid w:val="008054C8"/>
    <w:rsid w:val="00813DF0"/>
    <w:rsid w:val="00817E24"/>
    <w:rsid w:val="00823ADE"/>
    <w:rsid w:val="00824E74"/>
    <w:rsid w:val="008348D0"/>
    <w:rsid w:val="008402D3"/>
    <w:rsid w:val="0084216D"/>
    <w:rsid w:val="00843D93"/>
    <w:rsid w:val="00845F85"/>
    <w:rsid w:val="0085352D"/>
    <w:rsid w:val="008559CA"/>
    <w:rsid w:val="00855F42"/>
    <w:rsid w:val="00865AC2"/>
    <w:rsid w:val="00867903"/>
    <w:rsid w:val="0087042A"/>
    <w:rsid w:val="00870C1B"/>
    <w:rsid w:val="008714F5"/>
    <w:rsid w:val="0087266A"/>
    <w:rsid w:val="00873802"/>
    <w:rsid w:val="008742B8"/>
    <w:rsid w:val="00875828"/>
    <w:rsid w:val="008777E2"/>
    <w:rsid w:val="00877D51"/>
    <w:rsid w:val="00887670"/>
    <w:rsid w:val="00887C3D"/>
    <w:rsid w:val="008900D8"/>
    <w:rsid w:val="00892E6D"/>
    <w:rsid w:val="008931A6"/>
    <w:rsid w:val="008A7C71"/>
    <w:rsid w:val="008B0DC3"/>
    <w:rsid w:val="008B373E"/>
    <w:rsid w:val="008B4185"/>
    <w:rsid w:val="008B7FB2"/>
    <w:rsid w:val="008C041C"/>
    <w:rsid w:val="008C0D15"/>
    <w:rsid w:val="008C0F51"/>
    <w:rsid w:val="008C51B0"/>
    <w:rsid w:val="008D0BB2"/>
    <w:rsid w:val="008D2323"/>
    <w:rsid w:val="008D7002"/>
    <w:rsid w:val="008D7ED6"/>
    <w:rsid w:val="008E60E4"/>
    <w:rsid w:val="008F19D3"/>
    <w:rsid w:val="008F1CDF"/>
    <w:rsid w:val="00902D8A"/>
    <w:rsid w:val="00903139"/>
    <w:rsid w:val="00905EA7"/>
    <w:rsid w:val="00906059"/>
    <w:rsid w:val="00910EDC"/>
    <w:rsid w:val="00914AAD"/>
    <w:rsid w:val="0091797B"/>
    <w:rsid w:val="00922F29"/>
    <w:rsid w:val="009258D3"/>
    <w:rsid w:val="00931D86"/>
    <w:rsid w:val="009412A1"/>
    <w:rsid w:val="00941903"/>
    <w:rsid w:val="00944D7F"/>
    <w:rsid w:val="0095092C"/>
    <w:rsid w:val="00950988"/>
    <w:rsid w:val="009562DC"/>
    <w:rsid w:val="00963246"/>
    <w:rsid w:val="009679DC"/>
    <w:rsid w:val="009729A5"/>
    <w:rsid w:val="0097381E"/>
    <w:rsid w:val="00984D5C"/>
    <w:rsid w:val="009904A2"/>
    <w:rsid w:val="00995B2C"/>
    <w:rsid w:val="00997871"/>
    <w:rsid w:val="009A0434"/>
    <w:rsid w:val="009A127D"/>
    <w:rsid w:val="009A20DC"/>
    <w:rsid w:val="009A3AB0"/>
    <w:rsid w:val="009A493E"/>
    <w:rsid w:val="009A4D32"/>
    <w:rsid w:val="009A61EE"/>
    <w:rsid w:val="009B0923"/>
    <w:rsid w:val="009B10D0"/>
    <w:rsid w:val="009B2C46"/>
    <w:rsid w:val="009B4045"/>
    <w:rsid w:val="009C0C56"/>
    <w:rsid w:val="009C5E61"/>
    <w:rsid w:val="009D2DA0"/>
    <w:rsid w:val="009D3233"/>
    <w:rsid w:val="009F2A18"/>
    <w:rsid w:val="009F5941"/>
    <w:rsid w:val="00A013C7"/>
    <w:rsid w:val="00A0185C"/>
    <w:rsid w:val="00A02308"/>
    <w:rsid w:val="00A047B1"/>
    <w:rsid w:val="00A1025E"/>
    <w:rsid w:val="00A11FCE"/>
    <w:rsid w:val="00A23333"/>
    <w:rsid w:val="00A259CF"/>
    <w:rsid w:val="00A415D1"/>
    <w:rsid w:val="00A42E08"/>
    <w:rsid w:val="00A462CB"/>
    <w:rsid w:val="00A63FDD"/>
    <w:rsid w:val="00A82C9F"/>
    <w:rsid w:val="00A85F85"/>
    <w:rsid w:val="00A93A1E"/>
    <w:rsid w:val="00A944F2"/>
    <w:rsid w:val="00A95616"/>
    <w:rsid w:val="00A96440"/>
    <w:rsid w:val="00A964C4"/>
    <w:rsid w:val="00AA4E34"/>
    <w:rsid w:val="00AA69E0"/>
    <w:rsid w:val="00AA75BC"/>
    <w:rsid w:val="00AB02BF"/>
    <w:rsid w:val="00AC2F9E"/>
    <w:rsid w:val="00AC4FAF"/>
    <w:rsid w:val="00AC5969"/>
    <w:rsid w:val="00AD314F"/>
    <w:rsid w:val="00AE5450"/>
    <w:rsid w:val="00AE6A64"/>
    <w:rsid w:val="00AF608E"/>
    <w:rsid w:val="00B00D3C"/>
    <w:rsid w:val="00B07B09"/>
    <w:rsid w:val="00B12812"/>
    <w:rsid w:val="00B15FD5"/>
    <w:rsid w:val="00B177A7"/>
    <w:rsid w:val="00B21AF8"/>
    <w:rsid w:val="00B3255F"/>
    <w:rsid w:val="00B333B6"/>
    <w:rsid w:val="00B3413D"/>
    <w:rsid w:val="00B53299"/>
    <w:rsid w:val="00B5744E"/>
    <w:rsid w:val="00B6384F"/>
    <w:rsid w:val="00B63F24"/>
    <w:rsid w:val="00B6467C"/>
    <w:rsid w:val="00B662D2"/>
    <w:rsid w:val="00B72450"/>
    <w:rsid w:val="00B815BD"/>
    <w:rsid w:val="00B82A2F"/>
    <w:rsid w:val="00B83938"/>
    <w:rsid w:val="00B91A3B"/>
    <w:rsid w:val="00B93466"/>
    <w:rsid w:val="00B9531F"/>
    <w:rsid w:val="00BA4CF6"/>
    <w:rsid w:val="00BA61E4"/>
    <w:rsid w:val="00BA71E3"/>
    <w:rsid w:val="00BB0B84"/>
    <w:rsid w:val="00BB2211"/>
    <w:rsid w:val="00BB332D"/>
    <w:rsid w:val="00BC3865"/>
    <w:rsid w:val="00BC4E3D"/>
    <w:rsid w:val="00BC564E"/>
    <w:rsid w:val="00BC5A2D"/>
    <w:rsid w:val="00BD697D"/>
    <w:rsid w:val="00BE67D2"/>
    <w:rsid w:val="00BF06AC"/>
    <w:rsid w:val="00BF78F2"/>
    <w:rsid w:val="00C012E9"/>
    <w:rsid w:val="00C034B4"/>
    <w:rsid w:val="00C04BFA"/>
    <w:rsid w:val="00C0586B"/>
    <w:rsid w:val="00C1664A"/>
    <w:rsid w:val="00C16A9F"/>
    <w:rsid w:val="00C17AD6"/>
    <w:rsid w:val="00C21839"/>
    <w:rsid w:val="00C21AFE"/>
    <w:rsid w:val="00C26D09"/>
    <w:rsid w:val="00C373F4"/>
    <w:rsid w:val="00C4119A"/>
    <w:rsid w:val="00C418BA"/>
    <w:rsid w:val="00C51FA6"/>
    <w:rsid w:val="00C56875"/>
    <w:rsid w:val="00C676E6"/>
    <w:rsid w:val="00C72789"/>
    <w:rsid w:val="00C74CAB"/>
    <w:rsid w:val="00C871A1"/>
    <w:rsid w:val="00C946FA"/>
    <w:rsid w:val="00CA0C59"/>
    <w:rsid w:val="00CA4716"/>
    <w:rsid w:val="00CA49C1"/>
    <w:rsid w:val="00CF0711"/>
    <w:rsid w:val="00CF26B8"/>
    <w:rsid w:val="00CF3488"/>
    <w:rsid w:val="00D033FD"/>
    <w:rsid w:val="00D16938"/>
    <w:rsid w:val="00D20252"/>
    <w:rsid w:val="00D20BD6"/>
    <w:rsid w:val="00D22A73"/>
    <w:rsid w:val="00D230D1"/>
    <w:rsid w:val="00D27787"/>
    <w:rsid w:val="00D306B1"/>
    <w:rsid w:val="00D32142"/>
    <w:rsid w:val="00D33302"/>
    <w:rsid w:val="00D37365"/>
    <w:rsid w:val="00D43106"/>
    <w:rsid w:val="00D431C5"/>
    <w:rsid w:val="00D52740"/>
    <w:rsid w:val="00D533D8"/>
    <w:rsid w:val="00D53629"/>
    <w:rsid w:val="00D57B76"/>
    <w:rsid w:val="00D61BBC"/>
    <w:rsid w:val="00D74E98"/>
    <w:rsid w:val="00D80D9A"/>
    <w:rsid w:val="00D8499B"/>
    <w:rsid w:val="00D866F6"/>
    <w:rsid w:val="00D87788"/>
    <w:rsid w:val="00DA4B88"/>
    <w:rsid w:val="00DB03C3"/>
    <w:rsid w:val="00DB0BE6"/>
    <w:rsid w:val="00DB2E5D"/>
    <w:rsid w:val="00DB6794"/>
    <w:rsid w:val="00DC17D9"/>
    <w:rsid w:val="00DC221C"/>
    <w:rsid w:val="00DD2A82"/>
    <w:rsid w:val="00DD714D"/>
    <w:rsid w:val="00DE0349"/>
    <w:rsid w:val="00DE7D80"/>
    <w:rsid w:val="00DF460C"/>
    <w:rsid w:val="00E11406"/>
    <w:rsid w:val="00E114BA"/>
    <w:rsid w:val="00E21869"/>
    <w:rsid w:val="00E21AB4"/>
    <w:rsid w:val="00E22AD5"/>
    <w:rsid w:val="00E230D4"/>
    <w:rsid w:val="00E25123"/>
    <w:rsid w:val="00E42E4F"/>
    <w:rsid w:val="00E4588E"/>
    <w:rsid w:val="00E46B18"/>
    <w:rsid w:val="00E5359B"/>
    <w:rsid w:val="00E53C5C"/>
    <w:rsid w:val="00E556C2"/>
    <w:rsid w:val="00E5584F"/>
    <w:rsid w:val="00E61793"/>
    <w:rsid w:val="00E61798"/>
    <w:rsid w:val="00E7046A"/>
    <w:rsid w:val="00E71432"/>
    <w:rsid w:val="00E80AA8"/>
    <w:rsid w:val="00E91AA1"/>
    <w:rsid w:val="00E9403F"/>
    <w:rsid w:val="00E95BE3"/>
    <w:rsid w:val="00EA01E2"/>
    <w:rsid w:val="00EA145A"/>
    <w:rsid w:val="00EA15E1"/>
    <w:rsid w:val="00EA76CC"/>
    <w:rsid w:val="00EC3611"/>
    <w:rsid w:val="00EC3BC0"/>
    <w:rsid w:val="00ED179D"/>
    <w:rsid w:val="00ED1FE6"/>
    <w:rsid w:val="00ED7AF6"/>
    <w:rsid w:val="00EF2D4F"/>
    <w:rsid w:val="00F06579"/>
    <w:rsid w:val="00F112FC"/>
    <w:rsid w:val="00F132D7"/>
    <w:rsid w:val="00F133DC"/>
    <w:rsid w:val="00F1352F"/>
    <w:rsid w:val="00F15356"/>
    <w:rsid w:val="00F2106D"/>
    <w:rsid w:val="00F30DDD"/>
    <w:rsid w:val="00F32F60"/>
    <w:rsid w:val="00F450F1"/>
    <w:rsid w:val="00F4607E"/>
    <w:rsid w:val="00F476D1"/>
    <w:rsid w:val="00F51CE7"/>
    <w:rsid w:val="00F54BA6"/>
    <w:rsid w:val="00F5761C"/>
    <w:rsid w:val="00F60AC6"/>
    <w:rsid w:val="00F70B11"/>
    <w:rsid w:val="00F80338"/>
    <w:rsid w:val="00F80613"/>
    <w:rsid w:val="00F82EDD"/>
    <w:rsid w:val="00F864B8"/>
    <w:rsid w:val="00FA3276"/>
    <w:rsid w:val="00FA34C3"/>
    <w:rsid w:val="00FB5264"/>
    <w:rsid w:val="00FC2076"/>
    <w:rsid w:val="00FC6951"/>
    <w:rsid w:val="00FD04DD"/>
    <w:rsid w:val="00FD0EC2"/>
    <w:rsid w:val="00FD368A"/>
    <w:rsid w:val="00FD7555"/>
    <w:rsid w:val="00FE0D30"/>
    <w:rsid w:val="00FE1E15"/>
    <w:rsid w:val="00FE4C65"/>
    <w:rsid w:val="00FE776A"/>
    <w:rsid w:val="00FF6C98"/>
    <w:rsid w:val="00FF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3D20"/>
    <w:pPr>
      <w:widowControl w:val="0"/>
      <w:autoSpaceDE w:val="0"/>
      <w:autoSpaceDN w:val="0"/>
      <w:adjustRightInd w:val="0"/>
    </w:pPr>
    <w:rPr>
      <w:rFonts w:ascii="Century Gothic" w:hAnsi="Century Gothic"/>
      <w:szCs w:val="24"/>
    </w:rPr>
  </w:style>
  <w:style w:type="paragraph" w:styleId="Heading1">
    <w:name w:val="heading 1"/>
    <w:basedOn w:val="Normal"/>
    <w:next w:val="Normal"/>
    <w:qFormat/>
    <w:rsid w:val="001F3D20"/>
    <w:pPr>
      <w:keepNext/>
      <w:tabs>
        <w:tab w:val="center" w:pos="4680"/>
      </w:tabs>
      <w:spacing w:after="240"/>
      <w:jc w:val="center"/>
      <w:outlineLvl w:val="0"/>
    </w:pPr>
    <w:rPr>
      <w:b/>
      <w:bCs/>
      <w:sz w:val="24"/>
      <w:szCs w:val="20"/>
    </w:rPr>
  </w:style>
  <w:style w:type="paragraph" w:styleId="Heading2">
    <w:name w:val="heading 2"/>
    <w:basedOn w:val="Normal"/>
    <w:next w:val="Normal"/>
    <w:qFormat/>
    <w:rsid w:val="008F19D3"/>
    <w:pPr>
      <w:keepNext/>
      <w:spacing w:after="120"/>
      <w:jc w:val="center"/>
      <w:outlineLvl w:val="1"/>
    </w:pPr>
    <w:rPr>
      <w:szCs w:val="20"/>
      <w:u w:val="single"/>
    </w:rPr>
  </w:style>
  <w:style w:type="paragraph" w:styleId="Heading3">
    <w:name w:val="heading 3"/>
    <w:basedOn w:val="Normal"/>
    <w:next w:val="Normal"/>
    <w:link w:val="Heading3Char"/>
    <w:uiPriority w:val="9"/>
    <w:unhideWhenUsed/>
    <w:qFormat/>
    <w:rsid w:val="00691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2D8A"/>
  </w:style>
  <w:style w:type="paragraph" w:styleId="Header">
    <w:name w:val="header"/>
    <w:basedOn w:val="Normal"/>
    <w:semiHidden/>
    <w:rsid w:val="00902D8A"/>
    <w:pPr>
      <w:tabs>
        <w:tab w:val="center" w:pos="4320"/>
        <w:tab w:val="right" w:pos="8640"/>
      </w:tabs>
    </w:pPr>
  </w:style>
  <w:style w:type="paragraph" w:styleId="Footer">
    <w:name w:val="footer"/>
    <w:basedOn w:val="Normal"/>
    <w:semiHidden/>
    <w:rsid w:val="00902D8A"/>
    <w:pPr>
      <w:tabs>
        <w:tab w:val="center" w:pos="4320"/>
        <w:tab w:val="right" w:pos="8640"/>
      </w:tabs>
    </w:pPr>
  </w:style>
  <w:style w:type="character" w:styleId="PageNumber">
    <w:name w:val="page number"/>
    <w:basedOn w:val="DefaultParagraphFont"/>
    <w:semiHidden/>
    <w:rsid w:val="00902D8A"/>
  </w:style>
  <w:style w:type="paragraph" w:styleId="BodyTextIndent">
    <w:name w:val="Body Text Indent"/>
    <w:basedOn w:val="Normal"/>
    <w:semiHidden/>
    <w:rsid w:val="00902D8A"/>
    <w:pPr>
      <w:tabs>
        <w:tab w:val="left" w:pos="-1440"/>
        <w:tab w:val="left" w:pos="-720"/>
        <w:tab w:val="left" w:pos="0"/>
        <w:tab w:val="left" w:pos="1195"/>
        <w:tab w:val="left" w:pos="1675"/>
        <w:tab w:val="left" w:pos="2155"/>
        <w:tab w:val="left" w:pos="2755"/>
        <w:tab w:val="left" w:pos="3355"/>
        <w:tab w:val="left" w:pos="4320"/>
        <w:tab w:val="left" w:pos="8510"/>
      </w:tabs>
      <w:spacing w:before="120"/>
      <w:ind w:left="1195"/>
    </w:pPr>
    <w:rPr>
      <w:szCs w:val="20"/>
    </w:rPr>
  </w:style>
  <w:style w:type="paragraph" w:styleId="BodyTextIndent2">
    <w:name w:val="Body Text Indent 2"/>
    <w:basedOn w:val="Normal"/>
    <w:semiHidden/>
    <w:rsid w:val="00902D8A"/>
    <w:pPr>
      <w:tabs>
        <w:tab w:val="left" w:pos="-1440"/>
        <w:tab w:val="left" w:pos="-720"/>
        <w:tab w:val="left" w:pos="900"/>
        <w:tab w:val="left" w:pos="1080"/>
        <w:tab w:val="left" w:pos="1310"/>
        <w:tab w:val="left" w:pos="1800"/>
        <w:tab w:val="left" w:pos="2160"/>
        <w:tab w:val="left" w:pos="5328"/>
        <w:tab w:val="left" w:pos="6768"/>
        <w:tab w:val="left" w:pos="8208"/>
      </w:tabs>
      <w:ind w:left="900" w:hanging="900"/>
    </w:pPr>
    <w:rPr>
      <w:szCs w:val="20"/>
    </w:rPr>
  </w:style>
  <w:style w:type="paragraph" w:styleId="BodyTextIndent3">
    <w:name w:val="Body Text Indent 3"/>
    <w:basedOn w:val="Normal"/>
    <w:semiHidden/>
    <w:rsid w:val="00902D8A"/>
    <w:pPr>
      <w:tabs>
        <w:tab w:val="left" w:pos="-1440"/>
        <w:tab w:val="left" w:pos="-720"/>
        <w:tab w:val="left" w:pos="900"/>
        <w:tab w:val="left" w:pos="1080"/>
        <w:tab w:val="left" w:pos="1310"/>
        <w:tab w:val="left" w:pos="1800"/>
        <w:tab w:val="left" w:pos="2160"/>
        <w:tab w:val="left" w:pos="5328"/>
        <w:tab w:val="left" w:pos="6768"/>
        <w:tab w:val="left" w:pos="8208"/>
      </w:tabs>
      <w:ind w:left="907" w:hanging="907"/>
    </w:pPr>
    <w:rPr>
      <w:szCs w:val="20"/>
    </w:rPr>
  </w:style>
  <w:style w:type="character" w:styleId="Hyperlink">
    <w:name w:val="Hyperlink"/>
    <w:basedOn w:val="DefaultParagraphFont"/>
    <w:semiHidden/>
    <w:rsid w:val="00902D8A"/>
    <w:rPr>
      <w:color w:val="0000FF"/>
      <w:u w:val="single"/>
    </w:rPr>
  </w:style>
  <w:style w:type="character" w:styleId="CommentReference">
    <w:name w:val="annotation reference"/>
    <w:basedOn w:val="DefaultParagraphFont"/>
    <w:rsid w:val="00887C3D"/>
    <w:rPr>
      <w:sz w:val="16"/>
      <w:szCs w:val="16"/>
    </w:rPr>
  </w:style>
  <w:style w:type="paragraph" w:styleId="CommentText">
    <w:name w:val="annotation text"/>
    <w:basedOn w:val="Normal"/>
    <w:link w:val="CommentTextChar"/>
    <w:rsid w:val="00887C3D"/>
    <w:pPr>
      <w:widowControl/>
      <w:autoSpaceDE/>
      <w:autoSpaceDN/>
      <w:adjustRightInd/>
    </w:pPr>
    <w:rPr>
      <w:rFonts w:ascii="Helvetica" w:hAnsi="Helvetica"/>
      <w:szCs w:val="20"/>
    </w:rPr>
  </w:style>
  <w:style w:type="character" w:customStyle="1" w:styleId="CommentTextChar">
    <w:name w:val="Comment Text Char"/>
    <w:basedOn w:val="DefaultParagraphFont"/>
    <w:link w:val="CommentText"/>
    <w:rsid w:val="00887C3D"/>
    <w:rPr>
      <w:rFonts w:ascii="Helvetica" w:hAnsi="Helvetica"/>
    </w:rPr>
  </w:style>
  <w:style w:type="paragraph" w:styleId="BalloonText">
    <w:name w:val="Balloon Text"/>
    <w:basedOn w:val="Normal"/>
    <w:link w:val="BalloonTextChar"/>
    <w:uiPriority w:val="99"/>
    <w:semiHidden/>
    <w:unhideWhenUsed/>
    <w:rsid w:val="00887C3D"/>
    <w:rPr>
      <w:rFonts w:ascii="Tahoma" w:hAnsi="Tahoma" w:cs="Tahoma"/>
      <w:sz w:val="16"/>
      <w:szCs w:val="16"/>
    </w:rPr>
  </w:style>
  <w:style w:type="character" w:customStyle="1" w:styleId="BalloonTextChar">
    <w:name w:val="Balloon Text Char"/>
    <w:basedOn w:val="DefaultParagraphFont"/>
    <w:link w:val="BalloonText"/>
    <w:uiPriority w:val="99"/>
    <w:semiHidden/>
    <w:rsid w:val="00887C3D"/>
    <w:rPr>
      <w:rFonts w:ascii="Tahoma" w:hAnsi="Tahoma" w:cs="Tahoma"/>
      <w:sz w:val="16"/>
      <w:szCs w:val="16"/>
    </w:rPr>
  </w:style>
  <w:style w:type="paragraph" w:styleId="ListParagraph">
    <w:name w:val="List Paragraph"/>
    <w:basedOn w:val="Normal"/>
    <w:link w:val="ListParagraphChar"/>
    <w:uiPriority w:val="34"/>
    <w:rsid w:val="00057702"/>
    <w:pPr>
      <w:ind w:left="720"/>
    </w:pPr>
  </w:style>
  <w:style w:type="paragraph" w:styleId="CommentSubject">
    <w:name w:val="annotation subject"/>
    <w:basedOn w:val="CommentText"/>
    <w:next w:val="CommentText"/>
    <w:link w:val="CommentSubjectChar"/>
    <w:uiPriority w:val="99"/>
    <w:semiHidden/>
    <w:unhideWhenUsed/>
    <w:rsid w:val="00B3255F"/>
    <w:pPr>
      <w:widowControl w:val="0"/>
      <w:autoSpaceDE w:val="0"/>
      <w:autoSpaceDN w:val="0"/>
      <w:adjustRightInd w:val="0"/>
    </w:pPr>
    <w:rPr>
      <w:rFonts w:ascii="Century Gothic" w:hAnsi="Century Gothic"/>
      <w:b/>
      <w:bCs/>
    </w:rPr>
  </w:style>
  <w:style w:type="character" w:customStyle="1" w:styleId="CommentSubjectChar">
    <w:name w:val="Comment Subject Char"/>
    <w:basedOn w:val="CommentTextChar"/>
    <w:link w:val="CommentSubject"/>
    <w:uiPriority w:val="99"/>
    <w:semiHidden/>
    <w:rsid w:val="00B3255F"/>
    <w:rPr>
      <w:rFonts w:ascii="Century Gothic" w:hAnsi="Century Gothic"/>
      <w:b/>
      <w:bCs/>
    </w:rPr>
  </w:style>
  <w:style w:type="paragraph" w:customStyle="1" w:styleId="text">
    <w:name w:val="text"/>
    <w:basedOn w:val="Normal"/>
    <w:link w:val="textChar"/>
    <w:qFormat/>
    <w:rsid w:val="00D230D1"/>
    <w:pPr>
      <w:tabs>
        <w:tab w:val="left" w:pos="720"/>
      </w:tabs>
    </w:pPr>
    <w:rPr>
      <w:rFonts w:cs="Arial"/>
      <w:szCs w:val="22"/>
    </w:rPr>
  </w:style>
  <w:style w:type="character" w:customStyle="1" w:styleId="textChar">
    <w:name w:val="text Char"/>
    <w:basedOn w:val="DefaultParagraphFont"/>
    <w:link w:val="text"/>
    <w:rsid w:val="00D230D1"/>
    <w:rPr>
      <w:rFonts w:ascii="Century Gothic" w:hAnsi="Century Gothic" w:cs="Arial"/>
      <w:szCs w:val="22"/>
    </w:rPr>
  </w:style>
  <w:style w:type="character" w:customStyle="1" w:styleId="Heading3Char">
    <w:name w:val="Heading 3 Char"/>
    <w:basedOn w:val="DefaultParagraphFont"/>
    <w:link w:val="Heading3"/>
    <w:uiPriority w:val="9"/>
    <w:rsid w:val="00691EF2"/>
    <w:rPr>
      <w:rFonts w:asciiTheme="majorHAnsi" w:eastAsiaTheme="majorEastAsia" w:hAnsiTheme="majorHAnsi" w:cstheme="majorBidi"/>
      <w:b/>
      <w:bCs/>
      <w:color w:val="4F81BD" w:themeColor="accent1"/>
      <w:szCs w:val="24"/>
    </w:rPr>
  </w:style>
  <w:style w:type="paragraph" w:customStyle="1" w:styleId="QA">
    <w:name w:val="Q&amp;A"/>
    <w:basedOn w:val="Normal"/>
    <w:link w:val="QAChar"/>
    <w:qFormat/>
    <w:rsid w:val="0084216D"/>
    <w:pPr>
      <w:tabs>
        <w:tab w:val="left" w:pos="1080"/>
      </w:tabs>
      <w:ind w:left="1080" w:hanging="1080"/>
    </w:pPr>
    <w:rPr>
      <w:rFonts w:cs="Arial"/>
      <w:szCs w:val="22"/>
    </w:rPr>
  </w:style>
  <w:style w:type="paragraph" w:customStyle="1" w:styleId="QAbullettdlist">
    <w:name w:val="Q&amp;A bullettd list"/>
    <w:basedOn w:val="ListParagraph"/>
    <w:link w:val="QAbullettdlistChar"/>
    <w:autoRedefine/>
    <w:qFormat/>
    <w:rsid w:val="008C0D15"/>
    <w:pPr>
      <w:numPr>
        <w:numId w:val="21"/>
      </w:numPr>
      <w:tabs>
        <w:tab w:val="left" w:pos="1440"/>
      </w:tabs>
      <w:spacing w:before="60"/>
      <w:ind w:left="1440"/>
    </w:pPr>
    <w:rPr>
      <w:rFonts w:cs="Tahoma"/>
      <w:color w:val="000000"/>
      <w:szCs w:val="20"/>
    </w:rPr>
  </w:style>
  <w:style w:type="character" w:customStyle="1" w:styleId="QAChar">
    <w:name w:val="Q&amp;A Char"/>
    <w:basedOn w:val="DefaultParagraphFont"/>
    <w:link w:val="QA"/>
    <w:rsid w:val="0084216D"/>
    <w:rPr>
      <w:rFonts w:ascii="Century Gothic" w:hAnsi="Century Gothic" w:cs="Arial"/>
      <w:szCs w:val="22"/>
    </w:rPr>
  </w:style>
  <w:style w:type="paragraph" w:customStyle="1" w:styleId="QAnumberedlist">
    <w:name w:val="Q&amp;A numbered list"/>
    <w:basedOn w:val="Normal"/>
    <w:link w:val="QAnumberedlistChar"/>
    <w:qFormat/>
    <w:rsid w:val="0084216D"/>
    <w:pPr>
      <w:tabs>
        <w:tab w:val="left" w:pos="1440"/>
      </w:tabs>
      <w:spacing w:before="80"/>
      <w:ind w:left="1440" w:hanging="360"/>
    </w:pPr>
    <w:rPr>
      <w:rFonts w:cs="Arial"/>
      <w:szCs w:val="22"/>
    </w:rPr>
  </w:style>
  <w:style w:type="character" w:customStyle="1" w:styleId="ListParagraphChar">
    <w:name w:val="List Paragraph Char"/>
    <w:basedOn w:val="DefaultParagraphFont"/>
    <w:link w:val="ListParagraph"/>
    <w:uiPriority w:val="34"/>
    <w:rsid w:val="0033534E"/>
    <w:rPr>
      <w:rFonts w:ascii="Century Gothic" w:hAnsi="Century Gothic"/>
      <w:szCs w:val="24"/>
    </w:rPr>
  </w:style>
  <w:style w:type="character" w:customStyle="1" w:styleId="QAbullettdlistChar">
    <w:name w:val="Q&amp;A bullettd list Char"/>
    <w:basedOn w:val="ListParagraphChar"/>
    <w:link w:val="QAbullettdlist"/>
    <w:rsid w:val="008C0D15"/>
    <w:rPr>
      <w:rFonts w:cs="Tahoma"/>
      <w:color w:val="000000"/>
    </w:rPr>
  </w:style>
  <w:style w:type="paragraph" w:customStyle="1" w:styleId="QAsub">
    <w:name w:val="Q&amp;A sub"/>
    <w:basedOn w:val="Normal"/>
    <w:link w:val="QAsubChar"/>
    <w:qFormat/>
    <w:rsid w:val="00674598"/>
    <w:pPr>
      <w:tabs>
        <w:tab w:val="left" w:pos="1080"/>
        <w:tab w:val="left" w:pos="1620"/>
      </w:tabs>
      <w:ind w:left="1620" w:hanging="1620"/>
    </w:pPr>
    <w:rPr>
      <w:rFonts w:cs="Arial"/>
      <w:szCs w:val="22"/>
    </w:rPr>
  </w:style>
  <w:style w:type="character" w:customStyle="1" w:styleId="QAnumberedlistChar">
    <w:name w:val="Q&amp;A numbered list Char"/>
    <w:basedOn w:val="DefaultParagraphFont"/>
    <w:link w:val="QAnumberedlist"/>
    <w:rsid w:val="0084216D"/>
    <w:rPr>
      <w:rFonts w:ascii="Century Gothic" w:hAnsi="Century Gothic" w:cs="Arial"/>
      <w:szCs w:val="22"/>
    </w:rPr>
  </w:style>
  <w:style w:type="paragraph" w:customStyle="1" w:styleId="6pt">
    <w:name w:val="6 pt"/>
    <w:basedOn w:val="Normal"/>
    <w:link w:val="6ptChar"/>
    <w:qFormat/>
    <w:rsid w:val="001F3D20"/>
    <w:pPr>
      <w:spacing w:line="120" w:lineRule="exact"/>
    </w:pPr>
    <w:rPr>
      <w:rFonts w:cs="Arial"/>
      <w:sz w:val="12"/>
      <w:szCs w:val="12"/>
    </w:rPr>
  </w:style>
  <w:style w:type="character" w:customStyle="1" w:styleId="QAsubChar">
    <w:name w:val="Q&amp;A sub Char"/>
    <w:basedOn w:val="DefaultParagraphFont"/>
    <w:link w:val="QAsub"/>
    <w:rsid w:val="00674598"/>
    <w:rPr>
      <w:rFonts w:ascii="Century Gothic" w:hAnsi="Century Gothic" w:cs="Arial"/>
      <w:szCs w:val="22"/>
    </w:rPr>
  </w:style>
  <w:style w:type="paragraph" w:customStyle="1" w:styleId="NumList">
    <w:name w:val="NumList"/>
    <w:basedOn w:val="Normal"/>
    <w:link w:val="NumListChar"/>
    <w:qFormat/>
    <w:rsid w:val="001F3D20"/>
    <w:pPr>
      <w:tabs>
        <w:tab w:val="left" w:pos="720"/>
      </w:tabs>
      <w:ind w:left="720" w:hanging="720"/>
    </w:pPr>
    <w:rPr>
      <w:rFonts w:cs="Arial"/>
      <w:szCs w:val="22"/>
    </w:rPr>
  </w:style>
  <w:style w:type="character" w:customStyle="1" w:styleId="6ptChar">
    <w:name w:val="6 pt Char"/>
    <w:basedOn w:val="DefaultParagraphFont"/>
    <w:link w:val="6pt"/>
    <w:rsid w:val="001F3D20"/>
    <w:rPr>
      <w:rFonts w:ascii="Century Gothic" w:hAnsi="Century Gothic" w:cs="Arial"/>
      <w:sz w:val="12"/>
      <w:szCs w:val="12"/>
    </w:rPr>
  </w:style>
  <w:style w:type="character" w:customStyle="1" w:styleId="NumListChar">
    <w:name w:val="NumList Char"/>
    <w:basedOn w:val="DefaultParagraphFont"/>
    <w:link w:val="NumList"/>
    <w:rsid w:val="001F3D20"/>
    <w:rPr>
      <w:rFonts w:ascii="Century Gothic" w:hAnsi="Century Gothic" w:cs="Arial"/>
      <w:szCs w:val="22"/>
    </w:rPr>
  </w:style>
  <w:style w:type="paragraph" w:customStyle="1" w:styleId="textbulletedlist">
    <w:name w:val="text bulleted list"/>
    <w:basedOn w:val="text"/>
    <w:link w:val="textbulletedlistChar"/>
    <w:qFormat/>
    <w:rsid w:val="00D20252"/>
    <w:pPr>
      <w:numPr>
        <w:numId w:val="22"/>
      </w:numPr>
      <w:spacing w:before="80"/>
    </w:pPr>
  </w:style>
  <w:style w:type="character" w:customStyle="1" w:styleId="textbulletedlistChar">
    <w:name w:val="text bulleted list Char"/>
    <w:basedOn w:val="textChar"/>
    <w:link w:val="textbulletedlist"/>
    <w:rsid w:val="00D20252"/>
    <w:rPr>
      <w:rFonts w:ascii="Century Gothic" w:hAnsi="Century Gothic"/>
    </w:rPr>
  </w:style>
  <w:style w:type="paragraph" w:customStyle="1" w:styleId="SubHeading">
    <w:name w:val="Sub Heading"/>
    <w:basedOn w:val="text"/>
    <w:link w:val="SubHeadingChar"/>
    <w:rsid w:val="002011E3"/>
    <w:rPr>
      <w:u w:val="single"/>
    </w:rPr>
  </w:style>
  <w:style w:type="paragraph" w:customStyle="1" w:styleId="CaseAnswerHead">
    <w:name w:val="Case Answer Head"/>
    <w:basedOn w:val="text"/>
    <w:link w:val="CaseAnswerHeadChar"/>
    <w:qFormat/>
    <w:rsid w:val="001F3D20"/>
    <w:pPr>
      <w:ind w:left="720" w:hanging="720"/>
    </w:pPr>
    <w:rPr>
      <w:b/>
    </w:rPr>
  </w:style>
  <w:style w:type="character" w:customStyle="1" w:styleId="SubHeadingChar">
    <w:name w:val="Sub Heading Char"/>
    <w:basedOn w:val="textChar"/>
    <w:link w:val="SubHeading"/>
    <w:rsid w:val="002011E3"/>
    <w:rPr>
      <w:u w:val="single"/>
    </w:rPr>
  </w:style>
  <w:style w:type="character" w:customStyle="1" w:styleId="CaseAnswerHeadChar">
    <w:name w:val="Case Answer Head Char"/>
    <w:basedOn w:val="textChar"/>
    <w:link w:val="CaseAnswerHead"/>
    <w:rsid w:val="001F3D20"/>
    <w:rPr>
      <w:rFonts w:ascii="Century Gothic" w:hAnsi="Century Gothic"/>
      <w:b/>
    </w:rPr>
  </w:style>
  <w:style w:type="paragraph" w:customStyle="1" w:styleId="Copyright">
    <w:name w:val="Copyright"/>
    <w:basedOn w:val="Normal"/>
    <w:link w:val="CopyrightChar"/>
    <w:qFormat/>
    <w:rsid w:val="00707A2B"/>
    <w:pPr>
      <w:spacing w:before="40"/>
      <w:jc w:val="center"/>
    </w:pPr>
    <w:rPr>
      <w:rFonts w:ascii="Times New Roman" w:hAnsi="Times New Roman"/>
      <w:sz w:val="15"/>
      <w:szCs w:val="15"/>
    </w:rPr>
  </w:style>
  <w:style w:type="character" w:customStyle="1" w:styleId="CopyrightChar">
    <w:name w:val="Copyright Char"/>
    <w:basedOn w:val="DefaultParagraphFont"/>
    <w:link w:val="Copyright"/>
    <w:rsid w:val="00707A2B"/>
    <w:rPr>
      <w:sz w:val="15"/>
      <w:szCs w:val="15"/>
    </w:rPr>
  </w:style>
  <w:style w:type="paragraph" w:customStyle="1" w:styleId="PageNo">
    <w:name w:val="Page No."/>
    <w:basedOn w:val="Normal"/>
    <w:link w:val="PageNoChar"/>
    <w:qFormat/>
    <w:rsid w:val="00793520"/>
    <w:pPr>
      <w:jc w:val="center"/>
    </w:pPr>
    <w:rPr>
      <w:rFonts w:ascii="Arial" w:hAnsi="Arial" w:cs="Arial"/>
      <w:sz w:val="18"/>
      <w:szCs w:val="18"/>
    </w:rPr>
  </w:style>
  <w:style w:type="character" w:customStyle="1" w:styleId="PageNoChar">
    <w:name w:val="Page No. Char"/>
    <w:basedOn w:val="DefaultParagraphFont"/>
    <w:link w:val="PageNo"/>
    <w:rsid w:val="00793520"/>
    <w:rPr>
      <w:rFonts w:ascii="Arial" w:hAnsi="Arial" w:cs="Arial"/>
      <w:sz w:val="18"/>
      <w:szCs w:val="18"/>
    </w:rPr>
  </w:style>
  <w:style w:type="paragraph" w:customStyle="1" w:styleId="Gridtext">
    <w:name w:val="Grid text"/>
    <w:basedOn w:val="text"/>
    <w:link w:val="GridtextChar"/>
    <w:qFormat/>
    <w:rsid w:val="006B444D"/>
    <w:pPr>
      <w:spacing w:before="40"/>
    </w:pPr>
    <w:rPr>
      <w:szCs w:val="20"/>
    </w:rPr>
  </w:style>
  <w:style w:type="character" w:customStyle="1" w:styleId="GridtextChar">
    <w:name w:val="Grid text Char"/>
    <w:basedOn w:val="textChar"/>
    <w:link w:val="Gridtext"/>
    <w:rsid w:val="006B444D"/>
  </w:style>
  <w:style w:type="paragraph" w:customStyle="1" w:styleId="Gridtextheads">
    <w:name w:val="Grid text heads"/>
    <w:basedOn w:val="text"/>
    <w:link w:val="GridtextheadsChar"/>
    <w:qFormat/>
    <w:rsid w:val="006B444D"/>
    <w:pPr>
      <w:spacing w:before="40" w:after="80"/>
      <w:jc w:val="center"/>
    </w:pPr>
    <w:rPr>
      <w:b/>
      <w:smallCaps/>
      <w:sz w:val="18"/>
      <w:szCs w:val="18"/>
    </w:rPr>
  </w:style>
  <w:style w:type="character" w:customStyle="1" w:styleId="GridtextheadsChar">
    <w:name w:val="Grid text heads Char"/>
    <w:basedOn w:val="textChar"/>
    <w:link w:val="Gridtextheads"/>
    <w:rsid w:val="006B444D"/>
    <w:rPr>
      <w:b/>
      <w:smallCaps/>
      <w:sz w:val="18"/>
      <w:szCs w:val="18"/>
    </w:rPr>
  </w:style>
</w:styles>
</file>

<file path=word/webSettings.xml><?xml version="1.0" encoding="utf-8"?>
<w:webSettings xmlns:r="http://schemas.openxmlformats.org/officeDocument/2006/relationships" xmlns:w="http://schemas.openxmlformats.org/wordprocessingml/2006/main">
  <w:divs>
    <w:div w:id="976688196">
      <w:bodyDiv w:val="1"/>
      <w:marLeft w:val="0"/>
      <w:marRight w:val="0"/>
      <w:marTop w:val="0"/>
      <w:marBottom w:val="0"/>
      <w:divBdr>
        <w:top w:val="none" w:sz="0" w:space="0" w:color="auto"/>
        <w:left w:val="none" w:sz="0" w:space="0" w:color="auto"/>
        <w:bottom w:val="none" w:sz="0" w:space="0" w:color="auto"/>
        <w:right w:val="none" w:sz="0" w:space="0" w:color="auto"/>
      </w:divBdr>
    </w:div>
    <w:div w:id="12342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sc.fas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ahq.org/ascLogi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fas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aahq.org/ascLogin.cfm" TargetMode="External"/><Relationship Id="rId4" Type="http://schemas.openxmlformats.org/officeDocument/2006/relationships/settings" Target="settings.xml"/><Relationship Id="rId9" Type="http://schemas.openxmlformats.org/officeDocument/2006/relationships/hyperlink" Target="http://asc.fasb.org" TargetMode="External"/><Relationship Id="rId14" Type="http://schemas.openxmlformats.org/officeDocument/2006/relationships/hyperlink" Target="http://aaahq.org/ascLog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F16E-D12F-43E1-B1C5-0A4E534B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10409</Words>
  <Characters>59333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CHAPTER 1</vt:lpstr>
    </vt:vector>
  </TitlesOfParts>
  <Company>Kelley School of Business</Company>
  <LinksUpToDate>false</LinksUpToDate>
  <CharactersWithSpaces>69603</CharactersWithSpaces>
  <SharedDoc>false</SharedDoc>
  <HLinks>
    <vt:vector size="36" baseType="variant">
      <vt:variant>
        <vt:i4>1966086</vt:i4>
      </vt:variant>
      <vt:variant>
        <vt:i4>15</vt:i4>
      </vt:variant>
      <vt:variant>
        <vt:i4>0</vt:i4>
      </vt:variant>
      <vt:variant>
        <vt:i4>5</vt:i4>
      </vt:variant>
      <vt:variant>
        <vt:lpwstr>http://aaahq.org/ascLogin.cfm</vt:lpwstr>
      </vt:variant>
      <vt:variant>
        <vt:lpwstr/>
      </vt:variant>
      <vt:variant>
        <vt:i4>5177439</vt:i4>
      </vt:variant>
      <vt:variant>
        <vt:i4>12</vt:i4>
      </vt:variant>
      <vt:variant>
        <vt:i4>0</vt:i4>
      </vt:variant>
      <vt:variant>
        <vt:i4>5</vt:i4>
      </vt:variant>
      <vt:variant>
        <vt:lpwstr>http://asc.fasb.org/</vt:lpwstr>
      </vt:variant>
      <vt:variant>
        <vt:lpwstr/>
      </vt:variant>
      <vt:variant>
        <vt:i4>1966086</vt:i4>
      </vt:variant>
      <vt:variant>
        <vt:i4>9</vt:i4>
      </vt:variant>
      <vt:variant>
        <vt:i4>0</vt:i4>
      </vt:variant>
      <vt:variant>
        <vt:i4>5</vt:i4>
      </vt:variant>
      <vt:variant>
        <vt:lpwstr>http://aaahq.org/ascLogin.cfm</vt:lpwstr>
      </vt:variant>
      <vt:variant>
        <vt:lpwstr/>
      </vt:variant>
      <vt:variant>
        <vt:i4>5177439</vt:i4>
      </vt:variant>
      <vt:variant>
        <vt:i4>6</vt:i4>
      </vt:variant>
      <vt:variant>
        <vt:i4>0</vt:i4>
      </vt:variant>
      <vt:variant>
        <vt:i4>5</vt:i4>
      </vt:variant>
      <vt:variant>
        <vt:lpwstr>http://asc.fasb.org/</vt:lpwstr>
      </vt:variant>
      <vt:variant>
        <vt:lpwstr/>
      </vt:variant>
      <vt:variant>
        <vt:i4>1966086</vt:i4>
      </vt:variant>
      <vt:variant>
        <vt:i4>3</vt:i4>
      </vt:variant>
      <vt:variant>
        <vt:i4>0</vt:i4>
      </vt:variant>
      <vt:variant>
        <vt:i4>5</vt:i4>
      </vt:variant>
      <vt:variant>
        <vt:lpwstr>http://aaahq.org/ascLogin.cfm</vt:lpwstr>
      </vt:variant>
      <vt:variant>
        <vt:lpwstr/>
      </vt:variant>
      <vt:variant>
        <vt:i4>5177439</vt:i4>
      </vt:variant>
      <vt:variant>
        <vt:i4>0</vt:i4>
      </vt:variant>
      <vt:variant>
        <vt:i4>0</vt:i4>
      </vt:variant>
      <vt:variant>
        <vt:i4>5</vt:i4>
      </vt:variant>
      <vt:variant>
        <vt:lpwstr>http://asc.fasb.org/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Valerie Havrilla</dc:creator>
  <cp:lastModifiedBy>Cindy Kerr</cp:lastModifiedBy>
  <cp:revision>2</cp:revision>
  <cp:lastPrinted>2011-05-19T16:47:00Z</cp:lastPrinted>
  <dcterms:created xsi:type="dcterms:W3CDTF">2012-01-05T20:16:00Z</dcterms:created>
  <dcterms:modified xsi:type="dcterms:W3CDTF">2012-01-05T20:16:00Z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