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advantage of a business combination includes: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Utilizing duplicative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separate management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Shared fixed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Horizontally combining levels within the marketing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1"/>
              <w:gridCol w:w="7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combinations may viewed as a way to take advantage of economies of scale by utilizing common facilities and sharing fixed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One large bank’s acquisition of another bank would be an example of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extension merger.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conglomerate merger.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extension merger.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merger.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1"/>
              <w:gridCol w:w="7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horizontal merger occurs when two companies offering similar products or services that are likely competitors in the same marketplace merge.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nation-wide bank’s acquisition of a major investment advisory firm would be an example of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extension merger.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conglomerate merger.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extension merger.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merger.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4"/>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 extension merger occurs when the acquiring company is expanding its product offerings in the market place in which it sells.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 ADAC.FISC.1-1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building materials company’s acquisition of a television station would be an example of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extension merger.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conglomerate merger.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extension merger.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merger.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5"/>
              <w:gridCol w:w="6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these firms are in unrelated lines of business, this would be a conglomerate merger.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advantage of business combination can occur when the existing owner of a company sells out and receives: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cash to defer the taxable gain as a "tax-free reorganization."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stock to defer the taxable gain as a "tax-free reorganization."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cash to create a taxable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stock to create a taxable gain.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owners of a business sell their interests for cash or accept debt instruments, they would have an immediate taxable gain. However, if they accept common stock of another corporation and the transaction is crafted as such, they may account for the transaction as a “tax-free reorganization.” If this is the case, no taxes are paid until they sell the shares received in the transaction.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controlling interest in a company implies that the parent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owns all of the subsidiary's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acquired a majority of the subsidiary's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paid cash for a majority of the subsidiary's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transferred common stock for a majority of the subsidiary's outstanding bonds and debentures.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4"/>
              <w:gridCol w:w="6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Typically, a controlling interest is over 50% of the company’s voting stock.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Some advantages of obtaining control by acquiring a controlling interest in stock include all </w:t>
            </w:r>
            <w:r>
              <w:rPr>
                <w:rStyle w:val="DefaultParagraphFont"/>
                <w:rFonts w:ascii="Times New Roman" w:eastAsia="Times New Roman" w:hAnsi="Times New Roman" w:cs="Times New Roman"/>
                <w:b/>
                <w:bCs/>
                <w:i w:val="0"/>
                <w:iCs w:val="0"/>
                <w:smallCaps w:val="0"/>
                <w:color w:val="000000"/>
                <w:sz w:val="22"/>
                <w:szCs w:val="22"/>
                <w:bdr w:val="nil"/>
                <w:rtl w:val="0"/>
              </w:rPr>
              <w:t>but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Negotiations are made directly with the acquiree’s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legal liability of each corporation is limited to its own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may be lower since only a controlling interest in the assets, not the total assets, is acquired.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Tax advantages may result from preservation of the legal entities.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7"/>
              <w:gridCol w:w="7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was acquiring a controlling interest in stock, the negotiations would be with the target company’s stockholders.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 occurs when the management of the target company purchases a controlling interest in that company and the company incurs a significant amount of debt as a result.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greenmail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merger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poison pill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leveraged buyout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leveraged buyout is defensive move against an unfriendly takeover where management of the target company purchases a controlling interest in the company. Usually, a significant amount of debt is incurred.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costs such as the fees of accountants and lawyers that were necessary to negotiate and consummate the purchase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recorded as a deferred asset and amortized over a period not to exceed 15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expensed if immaterial but capitalized and amortized if over 2% of the acquisition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expensed in the period of the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included as part of the price paid for the company purchased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 of the acquisition, such as professional fees incurred to negotiate and consummate the purchase, are expensed in the period of purchase. Costs related to the issuance of securities related to the purchase may be deducted from the value assigned to paid-in capital in excess of par.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costs of a business combination can be deducted from the value assigned to paid-in capital in excess of par?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and indirect acquisition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acquisition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acquisition costs and stock issue costs if stock is issued as consideration.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Stock issue costs if stock is issued as consideration.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issue costs can be deducted from the value assigned to paid-in capital in excess of par when stock is issued as consideration. All other direct and indirect acquisition costs are expensed.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determining the fair values of assets acquired in an acquisition, the highest level of measurement per GAAP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adjusted market value based on prices of similar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unadjusted market values in an actively traded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discounted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entity’s best estimate of an exit or sale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4"/>
              <w:gridCol w:w="7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FASB provides a hierarchy of values where the highest level measurement possible should be used.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levels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1 - Unadjusted quoted market values in an actively traded market.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2 - Adjusted market value based on prices of similar assets or on observable other inputs such as interest rates.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3 - Fair value based on unobservable inputs such as the entity’s best estimate of an exit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Larry’s Liquor acquired the net assets of Drake’s Drinks in exchange for cash. The acquisition price exceeds the fair value of the net assets acquired. How should Larry’s Liquor determine the amounts to be reported for the plant and equipment, and for long-term debt of the acquired Drake’s Drinks?</w:t>
            </w:r>
          </w:p>
          <w:p>
            <w:pPr>
              <w:pStyle w:val="p"/>
              <w:shd w:val="clear" w:color="auto" w:fill="FFFFFF"/>
              <w:bidi w:val="0"/>
              <w:spacing w:before="0" w:beforeAutospacing="0" w:after="0" w:afterAutospacing="0"/>
              <w:jc w:val="left"/>
            </w:pPr>
          </w:p>
          <w:p>
            <w:pPr>
              <w:pStyle w:val="p"/>
              <w:shd w:val="clear" w:color="auto" w:fill="FFFFFF"/>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color w:val="000000"/>
                <w:sz w:val="20"/>
                <w:szCs w:val="20"/>
                <w:u w:val="single"/>
                <w:bdr w:val="nil"/>
                <w:rtl w:val="0"/>
              </w:rPr>
              <w:t>Plant and Equipment</w:t>
            </w:r>
            <w:r>
              <w:rPr>
                <w:rStyle w:val="DefaultParagraphFont"/>
                <w:rFonts w:ascii="Courier New" w:eastAsia="Courier New" w:hAnsi="Courier New" w:cs="Courier New"/>
                <w:b w:val="0"/>
                <w:bCs w:val="0"/>
                <w:i w:val="0"/>
                <w:iCs w:val="0"/>
                <w:smallCaps w:val="0"/>
                <w:color w:val="000000"/>
                <w:sz w:val="20"/>
                <w:szCs w:val="20"/>
                <w:bdr w:val="nil"/>
                <w:rtl w:val="0"/>
              </w:rPr>
              <w:t xml:space="preserve">           </w:t>
            </w: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Long-Term Debt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0"/>
                      <w:szCs w:val="20"/>
                      <w:bdr w:val="nil"/>
                      <w:rtl w:val="0"/>
                    </w:rPr>
                    <w:t>Fair value</w:t>
                  </w: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color w:val="000000"/>
                      <w:sz w:val="20"/>
                      <w:szCs w:val="20"/>
                      <w:bdr w:val="nil"/>
                      <w:rtl w:val="0"/>
                    </w:rPr>
                    <w:t xml:space="preserve"> Drake's carrying amount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0"/>
                      <w:szCs w:val="20"/>
                      <w:bdr w:val="nil"/>
                      <w:rtl w:val="0"/>
                    </w:rPr>
                    <w:t>Fair value</w:t>
                  </w: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color w:val="000000"/>
                      <w:sz w:val="20"/>
                      <w:szCs w:val="20"/>
                      <w:bdr w:val="nil"/>
                      <w:rtl w:val="0"/>
                    </w:rPr>
                    <w:t xml:space="preserve"> </w:t>
                  </w: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color w:val="000000"/>
                      <w:sz w:val="20"/>
                      <w:szCs w:val="20"/>
                      <w:bdr w:val="nil"/>
                      <w:rtl w:val="0"/>
                    </w:rPr>
                    <w:t>Fair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0"/>
                      <w:szCs w:val="20"/>
                      <w:bdr w:val="nil"/>
                      <w:rtl w:val="0"/>
                    </w:rPr>
                    <w:t>Drake's carrying amount</w:t>
                  </w: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color w:val="000000"/>
                      <w:sz w:val="20"/>
                      <w:szCs w:val="20"/>
                      <w:bdr w:val="nil"/>
                      <w:rtl w:val="0"/>
                    </w:rPr>
                    <w:t xml:space="preserve"> Fair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0"/>
                      <w:szCs w:val="20"/>
                      <w:bdr w:val="nil"/>
                      <w:rtl w:val="0"/>
                    </w:rPr>
                    <w:t>Drake's carrying amount</w:t>
                  </w: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color w:val="000000"/>
                      <w:sz w:val="20"/>
                      <w:szCs w:val="20"/>
                      <w:bdr w:val="nil"/>
                      <w:rtl w:val="0"/>
                    </w:rPr>
                    <w:t xml:space="preserve"> Drake's carrying amount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6"/>
              <w:gridCol w:w="6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assets acquired and liabilities assumed in an acquisition should be recorded at fair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Crystal Co. purchased all of the common stock of Sill Corp. on January 1 of the current year. Five years prior to the acquisition, Sill Corp. had issued 30-year bonds bearing an interest rate of 8%. At the time of the acquisition, the prevailing interest rate for similar bonds was 5%. These bonds should be included in the consolidated balance sheet 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a value higher than Sill’s recorded value due to the change in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a value lower than Sill’s recorded value due to the change in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Sill’s recorded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assets acquired and liabilities assumed should be recorded at their fair values. A change in interest rates may result in a market value that is different than the recorded value of the bonds. Generally, when interest rates fall, prices on bonds with higher stated interest rates will increase as investors are generally willing to pay more for the higher rate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ACME Co. paid $110,000 for the net assets of Comb Corp. At the time of the acquisition the following information was available related to Comb's balance sheet:</w:t>
            </w:r>
          </w:p>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590"/>
              <w:gridCol w:w="189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Book Value</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Fair Value</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recorded by ACME for the Building?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5"/>
              <w:gridCol w:w="6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Identifiable assets and liabilities of the acquiree are recorded at fair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ABC Co. is acquiring XYZ Inc. XYZ has the following intangible assets:</w:t>
            </w:r>
          </w:p>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Patent on a product that is deemed to have no useful life $10,000.</w:t>
                  </w:r>
                </w:p>
              </w:tc>
            </w:tr>
            <w:tr>
              <w:tblPrEx>
                <w:jc w:val="left"/>
                <w:tblCellMar>
                  <w:top w:w="0" w:type="dxa"/>
                  <w:left w:w="0" w:type="dxa"/>
                  <w:bottom w:w="0" w:type="dxa"/>
                  <w:right w:w="0" w:type="dxa"/>
                </w:tblCellMar>
              </w:tblPrEx>
              <w:trPr>
                <w:cantSplit w:val="0"/>
                <w:jc w:val="left"/>
              </w:trPr>
              <w:tc>
                <w:tcPr>
                  <w:tcW w:w="86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Customer list with an observable fair value of $50,000.</w:t>
                  </w:r>
                </w:p>
              </w:tc>
            </w:tr>
            <w:tr>
              <w:tblPrEx>
                <w:jc w:val="left"/>
                <w:tblCellMar>
                  <w:top w:w="0" w:type="dxa"/>
                  <w:left w:w="0" w:type="dxa"/>
                  <w:bottom w:w="0" w:type="dxa"/>
                  <w:right w:w="0" w:type="dxa"/>
                </w:tblCellMar>
              </w:tblPrEx>
              <w:trPr>
                <w:cantSplit w:val="0"/>
                <w:jc w:val="left"/>
              </w:trPr>
              <w:tc>
                <w:tcPr>
                  <w:tcW w:w="86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5-year operating lease with favorable terms having a discounted present value of $8,000.</w:t>
                  </w:r>
                </w:p>
              </w:tc>
            </w:tr>
            <w:tr>
              <w:tblPrEx>
                <w:jc w:val="left"/>
                <w:tblCellMar>
                  <w:top w:w="0" w:type="dxa"/>
                  <w:left w:w="0" w:type="dxa"/>
                  <w:bottom w:w="0" w:type="dxa"/>
                  <w:right w:w="0" w:type="dxa"/>
                </w:tblCellMar>
              </w:tblPrEx>
              <w:trPr>
                <w:cantSplit w:val="0"/>
                <w:jc w:val="left"/>
              </w:trPr>
              <w:tc>
                <w:tcPr>
                  <w:tcW w:w="86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Identifiable research and development costs of $100,000.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ABC will record how much for acquired Intangible Assets from the purchase of XYZ Inc?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$168,000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0"/>
              <w:gridCol w:w="7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59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Amounts to be recorded</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Patent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list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operating lease</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Identifiable research and development costs</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100,000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158,000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patent is on a product having no useful life, it has no value.  It is appropriate to recognize the other intangibles in an acquisition.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considered an identifiable intangible asset?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Assembled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backlog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Internet domain name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assembled workforce is specifically stated by FASB as not qualifying as an identifiable intangible asset. Whatever value it has would be included in the value recorded for goodwill.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contingent liability of an acquiree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refers to future consideration due that is part of the acquisition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recorded when it is probable that future events will confirm its existence.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may be recorded beyond the measurement period under certain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be recorded even if the amount cannot be reasonably estimated.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criteria must be met for an estimate of a contingent liability to be recorded: 1) information available indicates a liability had been incurred at the acquisition date, and 2) the amount of the liability can be reasonably estimated. Examples of a contingent liability might include pending claims, unfavorable lawsuits or environmental liabilities. Contingent liabilities should not be confused with contingent consideration that is part of the acquisition agreement.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Goodwill results when: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controlling interest is acquired.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 acquisition exceeds the sum of the fair values of the net identifiable assets acquired.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fair value of net assets acquired exceeds the acquisition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 acquisition exceeds the book value of an acquired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6"/>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acquisition price exceeds the sum of the fair value of the net identifiable assets acquired, the excess price is goodwill.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Cozzi Company is being purchased and has the following balance sheet as of the purchase date: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393"/>
              <w:gridCol w:w="1509"/>
              <w:gridCol w:w="785"/>
              <w:gridCol w:w="2378"/>
              <w:gridCol w:w="15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2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53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c>
                <w:tcPr>
                  <w:tcW w:w="84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71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$ 90,000</w:t>
                  </w:r>
                </w:p>
              </w:tc>
            </w:tr>
            <w:tr>
              <w:tblPrEx>
                <w:jc w:val="left"/>
                <w:tblCellMar>
                  <w:top w:w="0" w:type="dxa"/>
                  <w:left w:w="0" w:type="dxa"/>
                  <w:bottom w:w="0" w:type="dxa"/>
                  <w:right w:w="0" w:type="dxa"/>
                </w:tblCellMar>
              </w:tblPrEx>
              <w:trPr>
                <w:cantSplit w:val="0"/>
                <w:jc w:val="left"/>
              </w:trPr>
              <w:tc>
                <w:tcPr>
                  <w:tcW w:w="282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Fixed assets</w:t>
                  </w:r>
                </w:p>
              </w:tc>
              <w:tc>
                <w:tcPr>
                  <w:tcW w:w="153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180,000</w:t>
                  </w:r>
                </w:p>
              </w:tc>
              <w:tc>
                <w:tcPr>
                  <w:tcW w:w="84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71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290,000</w:t>
                  </w:r>
                </w:p>
              </w:tc>
            </w:tr>
            <w:tr>
              <w:tblPrEx>
                <w:jc w:val="left"/>
                <w:tblCellMar>
                  <w:top w:w="0" w:type="dxa"/>
                  <w:left w:w="0" w:type="dxa"/>
                  <w:bottom w:w="0" w:type="dxa"/>
                  <w:right w:w="0" w:type="dxa"/>
                </w:tblCellMar>
              </w:tblPrEx>
              <w:trPr>
                <w:cantSplit w:val="0"/>
                <w:jc w:val="left"/>
              </w:trPr>
              <w:tc>
                <w:tcPr>
                  <w:tcW w:w="282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Total</w:t>
                  </w:r>
                </w:p>
              </w:tc>
              <w:tc>
                <w:tcPr>
                  <w:tcW w:w="153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$380,000</w:t>
                  </w:r>
                </w:p>
              </w:tc>
              <w:tc>
                <w:tcPr>
                  <w:tcW w:w="84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71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Total</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$380,000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paid for Cozzi's net assets is $500,000. The fixed assets have a fair value of $220,000, and the liabilities have a fair value of $110,000. The amount of goodwill to be recorded in the purchase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4"/>
              <w:gridCol w:w="6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19"/>
                    <w:gridCol w:w="1724"/>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price</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Current assets</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$ 200,000</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Fixed assets</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220,000</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Liabilities</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(110,000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310,000</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190,000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Publics Company acquired the net assets of Citizen Company during 2016. The purchase price was $800,000. On the date of the transaction, Citizen had no long-term investments in marketable equity securities and $400,000 in liabilities, of which the fair value approximated book value. The fair value of Citizen’s assets on the acquisition date was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9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5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Current assets</w:t>
                  </w:r>
                </w:p>
              </w:tc>
              <w:tc>
                <w:tcPr>
                  <w:tcW w:w="19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$ 800,000</w:t>
                  </w:r>
                </w:p>
              </w:tc>
            </w:tr>
            <w:tr>
              <w:tblPrEx>
                <w:jc w:val="left"/>
                <w:tblCellMar>
                  <w:top w:w="0" w:type="dxa"/>
                  <w:left w:w="0" w:type="dxa"/>
                  <w:bottom w:w="0" w:type="dxa"/>
                  <w:right w:w="0" w:type="dxa"/>
                </w:tblCellMar>
              </w:tblPrEx>
              <w:trPr>
                <w:cantSplit w:val="0"/>
                <w:jc w:val="left"/>
              </w:trPr>
              <w:tc>
                <w:tcPr>
                  <w:tcW w:w="35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Noncurrent assets</w:t>
                  </w:r>
                </w:p>
              </w:tc>
              <w:tc>
                <w:tcPr>
                  <w:tcW w:w="19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600,000</w:t>
                  </w:r>
                </w:p>
              </w:tc>
            </w:tr>
            <w:tr>
              <w:tblPrEx>
                <w:jc w:val="left"/>
                <w:tblCellMar>
                  <w:top w:w="0" w:type="dxa"/>
                  <w:left w:w="0" w:type="dxa"/>
                  <w:bottom w:w="0" w:type="dxa"/>
                  <w:right w:w="0" w:type="dxa"/>
                </w:tblCellMar>
              </w:tblPrEx>
              <w:trPr>
                <w:cantSplit w:val="0"/>
                <w:jc w:val="left"/>
              </w:trPr>
              <w:tc>
                <w:tcPr>
                  <w:tcW w:w="35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$1,400,000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should Publics account for the difference between the fair value of the net assets acquired and the acquisition price of $800,000?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should be reduced by $200,000.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$600,000 gain on acquisition of business should be recognized.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$200,000 gain on acquisition of business should be recognized.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deferred credit of $200,000 should be set up and subsequently amortized to future net income over a period not to exceed 40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3"/>
              <w:gridCol w:w="6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59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of total assets</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of liabilities</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400,000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of net assets</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price</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800,000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 on acquisition of business</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200,000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acquisition price exceeds the fair value of the identifiable net assets acquired, the price deficiency is a gain.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ACME Co. paid $110,000 for the net assets of Comb Corp. At the time of the acquisition the following information was available related to Comb's balance sheet:</w:t>
            </w:r>
          </w:p>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590"/>
              <w:gridCol w:w="189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Book Value</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Fair Value</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goodwill or gain related to the acquisition?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Goodwill of $70,000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Goodwill of $30,000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gain of $30,000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gain of $70,000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2"/>
              <w:gridCol w:w="6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24"/>
                    <w:gridCol w:w="1561"/>
                    <w:gridCol w:w="1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price</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of net assets acquired:</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(30,000)</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180,000</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 on acquisition of business</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( 70,000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Jones Company acquired Jackson Company for $2,000,000 cash. At that time, the fair value of recorded assets and liabilities was $1,500,000 and $250,000, respectively. Jackson also had unrecorded copyrights valued at $150,000 and its direct costs related to the acquisition were $50,000. What was the amount of the goodwill related to the acquisition?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4"/>
              <w:gridCol w:w="6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230"/>
                    <w:gridCol w:w="1775"/>
                    <w:gridCol w:w="1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price</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$2,000,000</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Assets</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$1,500,000</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Copyrights</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Liabilities</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(250,000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1,400,000</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600,000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 related to the acquisition are expensed in the period the acquisition is made.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Jones company acquired Jackson Company for $2,000,000 cash. At that time, the fair value of recorded assets and liabilities was $1,500,000 and $250,000, respectively. Jackson also had in-process research and development projects valued at $150,000 and its pension plan’s projected benefit obligation exceeded the plan assets by $50,000. What was the amount of the goodwill related to the acquisition?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4"/>
              <w:gridCol w:w="6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247"/>
                    <w:gridCol w:w="1766"/>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price</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$2,000,000</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Assets</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$1,500,000</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Research and development</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Excess pension liability</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Liabilities</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(250,000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1,350,000</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650,000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Orbit Inc. purchased Planet Co. on January 1, 2016. At that time an existing patent having a 5-year life was not recorded as a separately identified intangible asset. At the end of fiscal year 2015, it is determined the patent is valued at $20,000, and goodwill has a book value of $100,000. How should intangible assets be reported at the beginning of fiscal year 2016?</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Goodwill $100,000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Patent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Goodwill $100,000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Patent $20,000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Goodwill $80,000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Patent $20,000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Goodwill $80,000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Patent $16,000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91"/>
              <w:gridCol w:w="7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no case may the measurement period exceed a year; therefore, goodwill will remain at its $100,000 book value, and the patent will not be recorded.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Orbit Inc. purchased Planet Co. on January 1, 2015. At that time an existing patent having a 5-year estimated life was assigned a provisional value of $10,000 and goodwill was assigned a value of $100,000. By the end of fiscal year 2015, better information was available that indicated the fair value of the patent was $20,000. How should intangible assets be reported at the beginning of fiscal year 2016?</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Goodwill $100,000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Patent $10,000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Goodwill $90,000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Patent $16,000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Goodwill $84,000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Patent $16,000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Goodwill $90,000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Patent $20,000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447"/>
                    <w:gridCol w:w="1515"/>
                    <w:gridCol w:w="2149"/>
                    <w:gridCol w:w="1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2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Patent:</w:t>
                        </w:r>
                      </w:p>
                    </w:tc>
                    <w:tc>
                      <w:tcPr>
                        <w:tcW w:w="1665"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301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75"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92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estimate</w:t>
                        </w:r>
                      </w:p>
                    </w:tc>
                    <w:tc>
                      <w:tcPr>
                        <w:tcW w:w="1665"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$ 20,000</w:t>
                        </w:r>
                      </w:p>
                    </w:tc>
                    <w:tc>
                      <w:tcPr>
                        <w:tcW w:w="3015"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75"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92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Provisional value</w:t>
                        </w:r>
                      </w:p>
                    </w:tc>
                    <w:tc>
                      <w:tcPr>
                        <w:tcW w:w="1665"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10,000</w:t>
                        </w:r>
                      </w:p>
                    </w:tc>
                    <w:tc>
                      <w:tcPr>
                        <w:tcW w:w="3015"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75"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92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Adjustment needed</w:t>
                        </w:r>
                      </w:p>
                    </w:tc>
                    <w:tc>
                      <w:tcPr>
                        <w:tcW w:w="1665"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$ 10,000</w:t>
                        </w:r>
                      </w:p>
                    </w:tc>
                    <w:tc>
                      <w:tcPr>
                        <w:tcW w:w="301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75"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92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Provisional goodwill</w:t>
                        </w:r>
                      </w:p>
                    </w:tc>
                    <w:tc>
                      <w:tcPr>
                        <w:tcW w:w="1665"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100,000</w:t>
                        </w:r>
                      </w:p>
                    </w:tc>
                    <w:tc>
                      <w:tcPr>
                        <w:tcW w:w="301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7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92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goodwill</w:t>
                        </w:r>
                      </w:p>
                    </w:tc>
                    <w:tc>
                      <w:tcPr>
                        <w:tcW w:w="1665"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90,000</w:t>
                        </w:r>
                      </w:p>
                    </w:tc>
                    <w:tc>
                      <w:tcPr>
                        <w:tcW w:w="301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75"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Amortization of the patent in 2016 based on the new estimate should be $20,000 / 5 = $4,000, so the book value of the patent at December 31, 2016 would be $16,000 ($20,000 - $4,000)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Balter Inc. acquired Jersey Company on January 1, 2016. When the purchase occurred Jersey Company had the following information related to fixed assets:</w:t>
            </w:r>
          </w:p>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6030"/>
              <w:gridCol w:w="1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Land</w:t>
                  </w:r>
                </w:p>
              </w:tc>
              <w:tc>
                <w:tcPr>
                  <w:tcW w:w="18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$ 80,000</w:t>
                  </w:r>
                </w:p>
              </w:tc>
            </w:tr>
            <w:tr>
              <w:tblPrEx>
                <w:jc w:val="left"/>
                <w:tblCellMar>
                  <w:top w:w="0" w:type="dxa"/>
                  <w:left w:w="0" w:type="dxa"/>
                  <w:bottom w:w="0" w:type="dxa"/>
                  <w:right w:w="0" w:type="dxa"/>
                </w:tblCellMar>
              </w:tblPrEx>
              <w:trPr>
                <w:cantSplit w:val="0"/>
                <w:jc w:val="left"/>
              </w:trPr>
              <w:tc>
                <w:tcPr>
                  <w:tcW w:w="58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Building</w:t>
                  </w:r>
                </w:p>
              </w:tc>
              <w:tc>
                <w:tcPr>
                  <w:tcW w:w="18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58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Accumulated Depreciation</w:t>
                  </w:r>
                </w:p>
              </w:tc>
              <w:tc>
                <w:tcPr>
                  <w:tcW w:w="18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58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Equipment</w:t>
                  </w:r>
                </w:p>
              </w:tc>
              <w:tc>
                <w:tcPr>
                  <w:tcW w:w="18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58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Accumulated Depreciation</w:t>
                  </w:r>
                </w:p>
              </w:tc>
              <w:tc>
                <w:tcPr>
                  <w:tcW w:w="18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building has a 10-year remaining useful life and the equipment has a 5-year remaining useful life. The fair value of the assets on that date were: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030"/>
              <w:gridCol w:w="1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Land</w:t>
                  </w:r>
                </w:p>
              </w:tc>
              <w:tc>
                <w:tcPr>
                  <w:tcW w:w="18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58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Building</w:t>
                  </w:r>
                </w:p>
              </w:tc>
              <w:tc>
                <w:tcPr>
                  <w:tcW w:w="18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130,000</w:t>
                  </w:r>
                </w:p>
              </w:tc>
            </w:tr>
            <w:tr>
              <w:tblPrEx>
                <w:jc w:val="left"/>
                <w:tblCellMar>
                  <w:top w:w="0" w:type="dxa"/>
                  <w:left w:w="0" w:type="dxa"/>
                  <w:bottom w:w="0" w:type="dxa"/>
                  <w:right w:w="0" w:type="dxa"/>
                </w:tblCellMar>
              </w:tblPrEx>
              <w:trPr>
                <w:cantSplit w:val="0"/>
                <w:jc w:val="left"/>
              </w:trPr>
              <w:tc>
                <w:tcPr>
                  <w:tcW w:w="58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Equipment</w:t>
                  </w:r>
                </w:p>
              </w:tc>
              <w:tc>
                <w:tcPr>
                  <w:tcW w:w="18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2016 depreciation expense Balter will record related to purchasing Jersey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4"/>
              <w:gridCol w:w="6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120"/>
                    <w:gridCol w:w="3057"/>
                    <w:gridCol w:w="1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6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43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 $130,000 / 10 years</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w:t>
                        </w:r>
                      </w:p>
                    </w:tc>
                  </w:tr>
                  <w:tr>
                    <w:tblPrEx>
                      <w:jc w:val="left"/>
                      <w:tblCellMar>
                        <w:top w:w="0" w:type="dxa"/>
                        <w:left w:w="0" w:type="dxa"/>
                        <w:bottom w:w="0" w:type="dxa"/>
                        <w:right w:w="0" w:type="dxa"/>
                      </w:tblCellMar>
                    </w:tblPrEx>
                    <w:trPr>
                      <w:cantSplit w:val="0"/>
                      <w:jc w:val="left"/>
                    </w:trPr>
                    <w:tc>
                      <w:tcPr>
                        <w:tcW w:w="26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43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 $ 75,000 / 5 years</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15,000</w:t>
                        </w:r>
                      </w:p>
                    </w:tc>
                  </w:tr>
                  <w:tr>
                    <w:tblPrEx>
                      <w:jc w:val="left"/>
                      <w:tblCellMar>
                        <w:top w:w="0" w:type="dxa"/>
                        <w:left w:w="0" w:type="dxa"/>
                        <w:bottom w:w="0" w:type="dxa"/>
                        <w:right w:w="0" w:type="dxa"/>
                      </w:tblCellMar>
                    </w:tblPrEx>
                    <w:trPr>
                      <w:cantSplit w:val="0"/>
                      <w:jc w:val="left"/>
                    </w:trPr>
                    <w:tc>
                      <w:tcPr>
                        <w:tcW w:w="26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43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28,000</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Polk issues common stock to acquire all the assets of the Sam Company on January 1, 2016. There is a contingent share agreement, which states that if the income of the Sam Division exceeds a certain level during 2016 and 2017, additional shares will be issued on January 1, 2018. The impact of issuing the additional shares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price assigned to fixed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no effect on asset values, but to reassign the amounts assigned to equity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record additional goodwill.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agreement to issue added stock upon the occurrence of a future event is considered to be a change in the estimate of the value of shares issued. The only entry made is at the date of the added stock issue to reassign the original consideration assigned to the stock to a greater number of shares. This typically results in an entry to increase the Common Stock account and decrease Paid-in Capital in Excess of Par.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Jones Company acquired Jackson Company for $2,000,000 cash. At that time, the fair value of recorded assets and liabilities was $1,500,000 and $250,000, respectively. If Jackson meets specified sales targets, Jones is required to pay an additional $200,000 in cash per the acquisition agreement.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Jones estimates the probability of this to be 50%. The direct costs related to the acquisition were $50,000. What was the amount of the goodwill related to the acquisition?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4"/>
              <w:gridCol w:w="6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254"/>
                    <w:gridCol w:w="1762"/>
                    <w:gridCol w:w="1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trHeight w:val="216"/>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price: Cash at closing</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$2,000,000</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Contingent consideration</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100,000</w:t>
                        </w:r>
                      </w:p>
                    </w:tc>
                  </w:tr>
                  <w:tr>
                    <w:tblPrEx>
                      <w:jc w:val="left"/>
                      <w:tblCellMar>
                        <w:top w:w="0" w:type="dxa"/>
                        <w:left w:w="0" w:type="dxa"/>
                        <w:bottom w:w="0" w:type="dxa"/>
                        <w:right w:w="0" w:type="dxa"/>
                      </w:tblCellMar>
                    </w:tblPrEx>
                    <w:trPr>
                      <w:cantSplit w:val="0"/>
                      <w:trHeight w:val="228"/>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2,100,000</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Assets</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$1,500,000</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Liabilities</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(250,000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1,250,000</w:t>
                        </w:r>
                      </w:p>
                    </w:tc>
                  </w:tr>
                  <w:tr>
                    <w:tblPrEx>
                      <w:jc w:val="left"/>
                      <w:tblCellMar>
                        <w:top w:w="0" w:type="dxa"/>
                        <w:left w:w="0" w:type="dxa"/>
                        <w:bottom w:w="0" w:type="dxa"/>
                        <w:right w:w="0" w:type="dxa"/>
                      </w:tblCellMar>
                    </w:tblPrEx>
                    <w:trPr>
                      <w:cantSplit w:val="0"/>
                      <w:jc w:val="left"/>
                    </w:trPr>
                    <w:tc>
                      <w:tcPr>
                        <w:tcW w:w="44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201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850,000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 related to the acquisition are expensed in the period the acquisition is made.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ACME Co. paid $110,000 for the net assets of Comb Corp. At the time of the acquisition the following information was available related to Comb's 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590"/>
              <w:gridCol w:w="189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Book Value</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Fair Value</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Current Assets</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Building</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Equipment</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4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Liabilities</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17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gain or loss on disposal of business should Comb Corp. recognize?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Gain of $60,000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Gain of $60,000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Loss of $30,000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Loss of $60,000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2"/>
              <w:gridCol w:w="6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24"/>
                    <w:gridCol w:w="1561"/>
                    <w:gridCol w:w="1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price</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 values of net assets acquired:</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(30,000)</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140,000</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 on sale of business</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89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Vibe Company purchased the net assets of Atlantic Company in a business combination accounted for as a purchase. As a result, goodwill was recorded. For tax purposes, this combination was considered to be a tax-free merger. Included in the assets is a building with an appraised value of $210,000 on the date of the business combination. This asset had a net book value of $70,000. The building had an adjusted tax basis to Atlantic (and to Vibe as a result of the merger) of $120,000. Assuming a 40% income tax rate, at what amount should Vibe record this building on its books after the purchase?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Deferred Tax</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Building</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Liability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$174,000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$210,000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$210,000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3"/>
              <w:gridCol w:w="6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345"/>
                    <w:gridCol w:w="2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6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of building</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$210,000</w:t>
                        </w:r>
                      </w:p>
                    </w:tc>
                  </w:tr>
                  <w:tr>
                    <w:tblPrEx>
                      <w:jc w:val="left"/>
                      <w:tblCellMar>
                        <w:top w:w="0" w:type="dxa"/>
                        <w:left w:w="0" w:type="dxa"/>
                        <w:bottom w:w="0" w:type="dxa"/>
                        <w:right w:w="0" w:type="dxa"/>
                      </w:tblCellMar>
                    </w:tblPrEx>
                    <w:trPr>
                      <w:cantSplit w:val="0"/>
                      <w:jc w:val="left"/>
                    </w:trPr>
                    <w:tc>
                      <w:tcPr>
                        <w:tcW w:w="46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basis of building</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120,000</w:t>
                        </w:r>
                      </w:p>
                    </w:tc>
                  </w:tr>
                  <w:tr>
                    <w:tblPrEx>
                      <w:jc w:val="left"/>
                      <w:tblCellMar>
                        <w:top w:w="0" w:type="dxa"/>
                        <w:left w:w="0" w:type="dxa"/>
                        <w:bottom w:w="0" w:type="dxa"/>
                        <w:right w:w="0" w:type="dxa"/>
                      </w:tblCellMar>
                    </w:tblPrEx>
                    <w:trPr>
                      <w:cantSplit w:val="0"/>
                      <w:jc w:val="left"/>
                    </w:trPr>
                    <w:tc>
                      <w:tcPr>
                        <w:tcW w:w="46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 not deductible</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r>
                  <w:tr>
                    <w:tblPrEx>
                      <w:jc w:val="left"/>
                      <w:tblCellMar>
                        <w:top w:w="0" w:type="dxa"/>
                        <w:left w:w="0" w:type="dxa"/>
                        <w:bottom w:w="0" w:type="dxa"/>
                        <w:right w:w="0" w:type="dxa"/>
                      </w:tblCellMar>
                    </w:tblPrEx>
                    <w:trPr>
                      <w:cantSplit w:val="0"/>
                      <w:jc w:val="left"/>
                    </w:trPr>
                    <w:tc>
                      <w:tcPr>
                        <w:tcW w:w="46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rate</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x 40%</w:t>
                        </w:r>
                      </w:p>
                    </w:tc>
                  </w:tr>
                  <w:tr>
                    <w:tblPrEx>
                      <w:jc w:val="left"/>
                      <w:tblCellMar>
                        <w:top w:w="0" w:type="dxa"/>
                        <w:left w:w="0" w:type="dxa"/>
                        <w:bottom w:w="0" w:type="dxa"/>
                        <w:right w:w="0" w:type="dxa"/>
                      </w:tblCellMar>
                    </w:tblPrEx>
                    <w:trPr>
                      <w:cantSplit w:val="0"/>
                      <w:jc w:val="left"/>
                    </w:trPr>
                    <w:tc>
                      <w:tcPr>
                        <w:tcW w:w="46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Deferred tax liability</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36,000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an acquisition of another company occurs, FASB requires disclosing all of the following </w:t>
            </w:r>
            <w:r>
              <w:rPr>
                <w:rStyle w:val="DefaultParagraphFont"/>
                <w:rFonts w:ascii="Times New Roman" w:eastAsia="Times New Roman" w:hAnsi="Times New Roman" w:cs="Times New Roman"/>
                <w:b/>
                <w:bCs/>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amounts recorded for each major class of assets and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concerning contingent consideration including a description of the arrangements and the range of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results of operations for the current period if both companies had remained separate.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qualitative description of factors that make up the goodwill recognized.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FASB requires revenue and earnings of the acquiree since the acquisition date and proforma revenue and earnings had the acquisition occurred at the start of the accounting period, but does not require results of operations for the current period if both companies had remained separate.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performing a goodwill impairment test, the company had the following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84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66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Estimated implied fair value of reporting unit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$420,000</w:t>
                  </w:r>
                </w:p>
              </w:tc>
            </w:tr>
            <w:tr>
              <w:tblPrEx>
                <w:jc w:val="left"/>
                <w:tblCellMar>
                  <w:top w:w="0" w:type="dxa"/>
                  <w:left w:w="0" w:type="dxa"/>
                  <w:bottom w:w="0" w:type="dxa"/>
                  <w:right w:w="0" w:type="dxa"/>
                </w:tblCellMar>
              </w:tblPrEx>
              <w:trPr>
                <w:cantSplit w:val="0"/>
                <w:jc w:val="left"/>
              </w:trPr>
              <w:tc>
                <w:tcPr>
                  <w:tcW w:w="666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Fair value of net assets on date of measurement (without goodwill)</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jc w:val="left"/>
              </w:trPr>
              <w:tc>
                <w:tcPr>
                  <w:tcW w:w="666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Existing net book value of reporting unit (without goodwill)</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$380,000</w:t>
                  </w:r>
                </w:p>
              </w:tc>
            </w:tr>
            <w:tr>
              <w:tblPrEx>
                <w:jc w:val="left"/>
                <w:tblCellMar>
                  <w:top w:w="0" w:type="dxa"/>
                  <w:left w:w="0" w:type="dxa"/>
                  <w:bottom w:w="0" w:type="dxa"/>
                  <w:right w:w="0" w:type="dxa"/>
                </w:tblCellMar>
              </w:tblPrEx>
              <w:trPr>
                <w:cantSplit w:val="0"/>
                <w:jc w:val="left"/>
              </w:trPr>
              <w:tc>
                <w:tcPr>
                  <w:tcW w:w="666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Book value of goodwill</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upon this information the proper conclusion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should recognize a goodwill impairment loss of $20,000.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Goodwill is not impaired.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should recognize a goodwill impairment loss of $40,000.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should recognize a goodwill impairment loss of $60,000.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2"/>
              <w:gridCol w:w="6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608"/>
                    <w:gridCol w:w="1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Impairment Test: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implied fair value of the reporting unit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$420,000</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Existing book values, including goodwill</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440,000</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Impairment is indicated since the book value of the unit exceeds the fair value.</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Impairment Loss Calculation:</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implied fair value of the reporting unit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$420,000</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Fair value of net assets</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400,000</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Implied fair value of goodwill</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Existing recorded goodwill</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60,000</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impairment loss</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40,000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performing the impairment test for goodwill, the company had the following 2016 and 2017 information available.</w:t>
            </w:r>
          </w:p>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5283"/>
              <w:gridCol w:w="1638"/>
              <w:gridCol w:w="1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3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2016</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2017</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Fair value of the reporting unit</w:t>
                  </w:r>
                </w:p>
              </w:tc>
              <w:tc>
                <w:tcPr>
                  <w:tcW w:w="153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jc w:val="left"/>
              </w:trPr>
              <w:tc>
                <w:tcPr>
                  <w:tcW w:w="55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Net book value (including $50,000 goodwill)</w:t>
                  </w:r>
                </w:p>
              </w:tc>
              <w:tc>
                <w:tcPr>
                  <w:tcW w:w="153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the carrying value of the identifiable assets are a reasonable approximation of their fair values. Based upon this information what are the 2016 and 2017 adjustment to goodwill, if any?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Courier New" w:eastAsia="Courier New" w:hAnsi="Courier New" w:cs="Courier New"/>
                <w:b w:val="0"/>
                <w:bCs w:val="0"/>
                <w:i w:val="0"/>
                <w:iCs w:val="0"/>
                <w:smallCaps w:val="0"/>
                <w:color w:val="000000"/>
                <w:sz w:val="20"/>
                <w:szCs w:val="20"/>
                <w:u w:val="single"/>
                <w:bdr w:val="nil"/>
                <w:rtl w:val="0"/>
              </w:rPr>
              <w:t>2016</w:t>
            </w: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color w:val="000000"/>
                <w:sz w:val="20"/>
                <w:szCs w:val="20"/>
                <w:bdr w:val="nil"/>
                <w:rtl w:val="0"/>
              </w:rPr>
              <w:t xml:space="preserve"> </w:t>
            </w: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0"/>
                      <w:szCs w:val="20"/>
                      <w:bdr w:val="nil"/>
                      <w:rtl w:val="0"/>
                    </w:rPr>
                    <w:t>no adjustment</w:t>
                  </w: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color w:val="000000"/>
                      <w:sz w:val="20"/>
                      <w:szCs w:val="20"/>
                      <w:bdr w:val="nil"/>
                      <w:rtl w:val="0"/>
                    </w:rPr>
                    <w:t xml:space="preserve"> $20,000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0"/>
                      <w:szCs w:val="20"/>
                      <w:bdr w:val="nil"/>
                      <w:rtl w:val="0"/>
                    </w:rPr>
                    <w:t>$10,000 increase</w:t>
                  </w: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color w:val="000000"/>
                      <w:sz w:val="20"/>
                      <w:szCs w:val="20"/>
                      <w:bdr w:val="nil"/>
                      <w:rtl w:val="0"/>
                    </w:rPr>
                    <w:t xml:space="preserve"> $20,000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0"/>
                      <w:szCs w:val="20"/>
                      <w:bdr w:val="nil"/>
                      <w:rtl w:val="0"/>
                    </w:rPr>
                    <w:t>$10,000 decrease</w:t>
                  </w: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color w:val="000000"/>
                      <w:sz w:val="20"/>
                      <w:szCs w:val="20"/>
                      <w:bdr w:val="nil"/>
                      <w:rtl w:val="0"/>
                    </w:rPr>
                    <w:t xml:space="preserve"> $20,000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0"/>
                      <w:szCs w:val="20"/>
                      <w:bdr w:val="nil"/>
                      <w:rtl w:val="0"/>
                    </w:rPr>
                    <w:t>$10,000 decrease</w:t>
                  </w: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color w:val="000000"/>
                      <w:sz w:val="20"/>
                      <w:szCs w:val="20"/>
                      <w:bdr w:val="nil"/>
                      <w:rtl w:val="0"/>
                    </w:rPr>
                    <w:t xml:space="preserve"> no adjustment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2"/>
              <w:gridCol w:w="6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608"/>
                    <w:gridCol w:w="1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Impairment Test 2016:</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implied fair value of the reporting unit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Existing book values, including goodwill</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Impairment is indicated since the book value of the unit exceeds the fair value.</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Impairment Loss Calculation:</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implied fair value of the reporting unit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Fair value of net assets (360,000 - 50,000)</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310,000</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Implied fair value of goodwill</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Existing recorded goodwill</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50,000</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impairment loss</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605"/>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Impairment Test 2017:</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implied fair value of the reporting unit</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trHeight w:val="216"/>
                      <w:jc w:val="left"/>
                    </w:trPr>
                    <w:tc>
                      <w:tcPr>
                        <w:tcW w:w="54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Existing book values, including goodwill</w:t>
                        </w:r>
                      </w:p>
                    </w:tc>
                    <w:tc>
                      <w:tcPr>
                        <w:tcW w:w="198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impairment is indicated in 2017.</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income factors should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considered in expected future income when estimating the value of goodwill?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for the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extraordinary items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a forecast of future income may start by projecting recent years’ incomes into the future, it is important to factor out “one-time” occurrences such as extraordinary items that will not likely recur in the near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Calibri" w:eastAsia="Calibri" w:hAnsi="Calibri" w:cs="Calibri"/>
                <w:b w:val="0"/>
                <w:bCs w:val="0"/>
                <w:i w:val="0"/>
                <w:iCs w:val="0"/>
                <w:smallCaps w:val="0"/>
                <w:color w:val="000000"/>
                <w:sz w:val="22"/>
                <w:szCs w:val="22"/>
                <w:bdr w:val="nil"/>
                <w:rtl w:val="0"/>
              </w:rPr>
              <w:t>When measuring the fair value of the acquired company as the price paid by the acquirer, the price calculation needs to consider the following EXCEPT for: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alibri" w:eastAsia="Calibri" w:hAnsi="Calibri" w:cs="Calibri"/>
                      <w:b w:val="0"/>
                      <w:bCs w:val="0"/>
                      <w:i w:val="0"/>
                      <w:iCs w:val="0"/>
                      <w:smallCaps w:val="0"/>
                      <w:color w:val="000000"/>
                      <w:sz w:val="22"/>
                      <w:szCs w:val="22"/>
                      <w:bdr w:val="nil"/>
                      <w:rtl w:val="0"/>
                    </w:rPr>
                    <w:t>the estimated value of contingent consideration like assets or stock at a later date if specified events occur like targeted sales or income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alibri" w:eastAsia="Calibri" w:hAnsi="Calibri" w:cs="Calibri"/>
                      <w:b w:val="0"/>
                      <w:bCs w:val="0"/>
                      <w:i w:val="0"/>
                      <w:iCs w:val="0"/>
                      <w:smallCaps w:val="0"/>
                      <w:color w:val="000000"/>
                      <w:sz w:val="22"/>
                      <w:szCs w:val="22"/>
                      <w:bdr w:val="nil"/>
                      <w:rtl w:val="0"/>
                    </w:rPr>
                    <w:t>the costs of accomplishing the acquisition, such as accounting and legal fees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alibri" w:eastAsia="Calibri" w:hAnsi="Calibri" w:cs="Calibri"/>
                      <w:b w:val="0"/>
                      <w:bCs w:val="0"/>
                      <w:i w:val="0"/>
                      <w:iCs w:val="0"/>
                      <w:smallCaps w:val="0"/>
                      <w:color w:val="000000"/>
                      <w:sz w:val="22"/>
                      <w:szCs w:val="22"/>
                      <w:bdr w:val="nil"/>
                      <w:rtl w:val="0"/>
                    </w:rPr>
                    <w:t>common agreements like targeted sales or income performance by the acquire company are acceptable for 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alibri" w:eastAsia="Calibri" w:hAnsi="Calibri" w:cs="Calibri"/>
                      <w:b w:val="0"/>
                      <w:bCs w:val="0"/>
                      <w:i w:val="0"/>
                      <w:iCs w:val="0"/>
                      <w:smallCaps w:val="0"/>
                      <w:color w:val="000000"/>
                      <w:sz w:val="22"/>
                      <w:szCs w:val="22"/>
                      <w:bdr w:val="nil"/>
                      <w:rtl w:val="0"/>
                    </w:rPr>
                    <w:t>issue costs from the stock of the acquirer may be expensed or they can be deducted from the value assigned to paid-in capital in excess of par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1"/>
              <w:gridCol w:w="6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costs are expensed and not included in the price of the company acquired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Calibri" w:eastAsia="Calibri" w:hAnsi="Calibri" w:cs="Calibri"/>
                <w:b w:val="0"/>
                <w:bCs w:val="0"/>
                <w:i w:val="0"/>
                <w:iCs w:val="0"/>
                <w:smallCaps w:val="0"/>
                <w:color w:val="000000"/>
                <w:sz w:val="22"/>
                <w:szCs w:val="22"/>
                <w:bdr w:val="nil"/>
                <w:rtl w:val="0"/>
              </w:rPr>
              <w:t>Rugby, Inc. issues 20,000 shares of $10 par value common stock with a market value of $15 each for Soccer Company.</w:t>
            </w:r>
            <w:r>
              <w:rPr>
                <w:rStyle w:val="DefaultParagraphFont"/>
                <w:rFonts w:ascii="Calibri" w:eastAsia="Calibri" w:hAnsi="Calibri" w:cs="Calibri"/>
                <w:b w:val="0"/>
                <w:bCs w:val="0"/>
                <w:i w:val="0"/>
                <w:iCs w:val="0"/>
                <w:smallCaps w:val="0"/>
                <w:color w:val="000000"/>
                <w:sz w:val="22"/>
                <w:szCs w:val="22"/>
                <w:bdr w:val="nil"/>
                <w:rtl w:val="0"/>
              </w:rPr>
              <w:t> </w:t>
            </w:r>
            <w:r>
              <w:rPr>
                <w:rStyle w:val="DefaultParagraphFont"/>
                <w:rFonts w:ascii="Calibri" w:eastAsia="Calibri" w:hAnsi="Calibri" w:cs="Calibri"/>
                <w:b w:val="0"/>
                <w:bCs w:val="0"/>
                <w:i w:val="0"/>
                <w:iCs w:val="0"/>
                <w:smallCaps w:val="0"/>
                <w:color w:val="000000"/>
                <w:sz w:val="22"/>
                <w:szCs w:val="22"/>
                <w:bdr w:val="nil"/>
                <w:rtl w:val="0"/>
              </w:rPr>
              <w:t xml:space="preserve"> Rugby, Inc. pays related acquisition costs of $50,000.</w:t>
            </w:r>
            <w:r>
              <w:rPr>
                <w:rStyle w:val="DefaultParagraphFont"/>
                <w:rFonts w:ascii="Calibri" w:eastAsia="Calibri" w:hAnsi="Calibri" w:cs="Calibri"/>
                <w:b w:val="0"/>
                <w:bCs w:val="0"/>
                <w:i w:val="0"/>
                <w:iCs w:val="0"/>
                <w:smallCaps w:val="0"/>
                <w:color w:val="000000"/>
                <w:sz w:val="22"/>
                <w:szCs w:val="22"/>
                <w:bdr w:val="nil"/>
                <w:rtl w:val="0"/>
              </w:rPr>
              <w:t>  </w:t>
            </w:r>
            <w:r>
              <w:rPr>
                <w:rStyle w:val="DefaultParagraphFont"/>
                <w:rFonts w:ascii="Calibri" w:eastAsia="Calibri" w:hAnsi="Calibri" w:cs="Calibri"/>
                <w:b w:val="0"/>
                <w:bCs w:val="0"/>
                <w:i w:val="0"/>
                <w:iCs w:val="0"/>
                <w:smallCaps w:val="0"/>
                <w:color w:val="000000"/>
                <w:sz w:val="22"/>
                <w:szCs w:val="22"/>
                <w:bdr w:val="nil"/>
                <w:rtl w:val="0"/>
              </w:rPr>
              <w:t xml:space="preserve"> The total fair value of net assets acquired from Soccer Company is $450,000.</w:t>
            </w:r>
            <w:r>
              <w:rPr>
                <w:rStyle w:val="DefaultParagraphFont"/>
                <w:rFonts w:ascii="Calibri" w:eastAsia="Calibri" w:hAnsi="Calibri" w:cs="Calibri"/>
                <w:b w:val="0"/>
                <w:bCs w:val="0"/>
                <w:i w:val="0"/>
                <w:iCs w:val="0"/>
                <w:smallCaps w:val="0"/>
                <w:color w:val="000000"/>
                <w:sz w:val="22"/>
                <w:szCs w:val="22"/>
                <w:bdr w:val="nil"/>
                <w:rtl w:val="0"/>
              </w:rPr>
              <w:t> </w:t>
            </w:r>
            <w:r>
              <w:rPr>
                <w:rStyle w:val="DefaultParagraphFont"/>
                <w:rFonts w:ascii="Calibri" w:eastAsia="Calibri" w:hAnsi="Calibri" w:cs="Calibri"/>
                <w:b w:val="0"/>
                <w:bCs w:val="0"/>
                <w:i w:val="0"/>
                <w:iCs w:val="0"/>
                <w:smallCaps w:val="0"/>
                <w:color w:val="000000"/>
                <w:sz w:val="22"/>
                <w:szCs w:val="22"/>
                <w:bdr w:val="nil"/>
                <w:rtl w:val="0"/>
              </w:rPr>
              <w:t xml:space="preserve"> Which of the following is true related to recording the purchase and related costs: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alibri" w:eastAsia="Calibri" w:hAnsi="Calibri" w:cs="Calibri"/>
                      <w:b w:val="0"/>
                      <w:bCs w:val="0"/>
                      <w:i w:val="0"/>
                      <w:iCs w:val="0"/>
                      <w:smallCaps w:val="0"/>
                      <w:color w:val="000000"/>
                      <w:sz w:val="22"/>
                      <w:szCs w:val="22"/>
                      <w:bdr w:val="nil"/>
                      <w:rtl w:val="0"/>
                    </w:rPr>
                    <w:t>Debit a loss for $150,000 on the acquisition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alibri" w:eastAsia="Calibri" w:hAnsi="Calibri" w:cs="Calibri"/>
                      <w:b w:val="0"/>
                      <w:bCs w:val="0"/>
                      <w:i w:val="0"/>
                      <w:iCs w:val="0"/>
                      <w:smallCaps w:val="0"/>
                      <w:color w:val="000000"/>
                      <w:sz w:val="22"/>
                      <w:szCs w:val="22"/>
                      <w:bdr w:val="nil"/>
                      <w:rtl w:val="0"/>
                    </w:rPr>
                    <w:t>Debit goodwill for $250,000 above par value on the acquisition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alibri" w:eastAsia="Calibri" w:hAnsi="Calibri" w:cs="Calibri"/>
                      <w:b w:val="0"/>
                      <w:bCs w:val="0"/>
                      <w:i w:val="0"/>
                      <w:iCs w:val="0"/>
                      <w:smallCaps w:val="0"/>
                      <w:color w:val="000000"/>
                      <w:sz w:val="22"/>
                      <w:szCs w:val="22"/>
                      <w:bdr w:val="nil"/>
                      <w:rtl w:val="0"/>
                    </w:rPr>
                    <w:t>Credit a gain for $150,000 on the acquisition of the business and capitalize the $55,000 of acquisition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alibri" w:eastAsia="Calibri" w:hAnsi="Calibri" w:cs="Calibri"/>
                      <w:b w:val="0"/>
                      <w:bCs w:val="0"/>
                      <w:i w:val="0"/>
                      <w:iCs w:val="0"/>
                      <w:smallCaps w:val="0"/>
                      <w:color w:val="000000"/>
                      <w:sz w:val="22"/>
                      <w:szCs w:val="22"/>
                      <w:bdr w:val="nil"/>
                      <w:rtl w:val="0"/>
                    </w:rPr>
                    <w:t>Credit a gain for $150,000 on the acquisition of the business and expense the acquisition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total fair value of the net assets acquired to the exchange price of the stock based on its market value. If the total price paid is less than the sum of the fair value of the net identifiable assets acquired, the price deficiency is a gain. If the total price paid is more than the sum of the fair value of the net identifiable assets acquired, then goodwill results. Ignore par value. All acquisition costs are expensed.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Internet Corporation is considering the acquisition of Homepage Corporation and has obtained the following audited condensed balance sheet: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8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Homepage Corporation</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 2016</w:t>
                  </w:r>
                </w:p>
              </w:tc>
            </w:tr>
          </w:tbl>
          <w:p>
            <w:pPr>
              <w:rPr>
                <w:vanish/>
              </w:rPr>
            </w:pPr>
          </w:p>
          <w:tbl>
            <w:tblPr>
              <w:jc w:val="left"/>
              <w:tblBorders>
                <w:top w:val="nil"/>
                <w:left w:val="nil"/>
                <w:bottom w:val="nil"/>
                <w:right w:val="nil"/>
                <w:insideH w:val="nil"/>
                <w:insideV w:val="nil"/>
              </w:tblBorders>
              <w:tblCellMar>
                <w:top w:w="0" w:type="dxa"/>
                <w:left w:w="0" w:type="dxa"/>
                <w:bottom w:w="0" w:type="dxa"/>
                <w:right w:w="0" w:type="dxa"/>
              </w:tblCellMar>
            </w:tblPr>
            <w:tblGrid>
              <w:gridCol w:w="2534"/>
              <w:gridCol w:w="1539"/>
              <w:gridCol w:w="526"/>
              <w:gridCol w:w="2501"/>
              <w:gridCol w:w="1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6" w:type="dxa"/>
                  <w:gridSpan w:val="2"/>
                  <w:noWrap w:val="0"/>
                  <w:tcMar>
                    <w:top w:w="0" w:type="dxa"/>
                    <w:left w:w="90" w:type="dxa"/>
                    <w:bottom w:w="0" w:type="dxa"/>
                    <w:right w:w="9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Assets</w:t>
                  </w:r>
                </w:p>
              </w:tc>
              <w:tc>
                <w:tcPr>
                  <w:tcW w:w="48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4338" w:type="dxa"/>
                  <w:gridSpan w:val="2"/>
                  <w:noWrap w:val="0"/>
                  <w:tcMar>
                    <w:top w:w="0" w:type="dxa"/>
                    <w:left w:w="90" w:type="dxa"/>
                    <w:bottom w:w="0" w:type="dxa"/>
                    <w:right w:w="9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Liabilities and Equity</w:t>
                  </w:r>
                </w:p>
              </w:tc>
            </w:tr>
            <w:tr>
              <w:tblPrEx>
                <w:jc w:val="left"/>
                <w:tblCellMar>
                  <w:top w:w="0" w:type="dxa"/>
                  <w:left w:w="0" w:type="dxa"/>
                  <w:bottom w:w="0" w:type="dxa"/>
                  <w:right w:w="0" w:type="dxa"/>
                </w:tblCellMar>
              </w:tblPrEx>
              <w:trPr>
                <w:cantSplit w:val="0"/>
                <w:jc w:val="left"/>
              </w:trPr>
              <w:tc>
                <w:tcPr>
                  <w:tcW w:w="291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$ 40,000</w:t>
                  </w:r>
                </w:p>
              </w:tc>
              <w:tc>
                <w:tcPr>
                  <w:tcW w:w="48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89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$ 60,000</w:t>
                  </w:r>
                </w:p>
              </w:tc>
            </w:tr>
            <w:tr>
              <w:tblPrEx>
                <w:jc w:val="left"/>
                <w:tblCellMar>
                  <w:top w:w="0" w:type="dxa"/>
                  <w:left w:w="0" w:type="dxa"/>
                  <w:bottom w:w="0" w:type="dxa"/>
                  <w:right w:w="0" w:type="dxa"/>
                </w:tblCellMar>
              </w:tblPrEx>
              <w:trPr>
                <w:cantSplit w:val="0"/>
                <w:jc w:val="left"/>
              </w:trPr>
              <w:tc>
                <w:tcPr>
                  <w:tcW w:w="291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48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89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Stock (50,000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91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 (net)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c>
                <w:tcPr>
                  <w:tcW w:w="48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89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shares, $1 par value)</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291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 (net)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60,000</w:t>
                  </w:r>
                </w:p>
              </w:tc>
              <w:tc>
                <w:tcPr>
                  <w:tcW w:w="48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89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Paid-in Capital</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291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48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89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70,000</w:t>
                  </w:r>
                </w:p>
              </w:tc>
            </w:tr>
            <w:tr>
              <w:tblPrEx>
                <w:jc w:val="left"/>
                <w:tblCellMar>
                  <w:top w:w="0" w:type="dxa"/>
                  <w:left w:w="0" w:type="dxa"/>
                  <w:bottom w:w="0" w:type="dxa"/>
                  <w:right w:w="0" w:type="dxa"/>
                </w:tblCellMar>
              </w:tblPrEx>
              <w:trPr>
                <w:cantSplit w:val="0"/>
                <w:jc w:val="left"/>
              </w:trPr>
              <w:tc>
                <w:tcPr>
                  <w:tcW w:w="291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200,000</w:t>
                  </w:r>
                </w:p>
              </w:tc>
              <w:tc>
                <w:tcPr>
                  <w:tcW w:w="48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89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200,000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also acquired the following fair values for Homepage's assets and liabilities: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929"/>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$ 55,000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 (net)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 (net)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r>
            <w:tr>
              <w:tblPrEx>
                <w:jc w:val="left"/>
                <w:tblCellMar>
                  <w:top w:w="0" w:type="dxa"/>
                  <w:left w:w="0" w:type="dxa"/>
                  <w:bottom w:w="0" w:type="dxa"/>
                  <w:right w:w="0" w:type="dxa"/>
                </w:tblCellMar>
              </w:tblPrEx>
              <w:trPr>
                <w:cantSplit w:val="0"/>
                <w:trHeight w:val="228"/>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(60,000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220,000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and Homepage agree on a price of $280,000 for Homepage's net assets. Prepare the necessary journal entry to record the purchase given the following scenarios: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50"/>
              <w:gridCol w:w="7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38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pays cash for Homepage Corporation and incurs $5,000 of acquisition costs.</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8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38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issues its $5 par value stock as consideration. The fair value of the stock at the acquisition date is $50 per share. Additionally, Internet incurs $5,000 of security issuance costs.</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79"/>
                    <w:gridCol w:w="3613"/>
                    <w:gridCol w:w="1330"/>
                    <w:gridCol w:w="1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Debit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w:t>
                        </w:r>
                      </w:p>
                    </w:tc>
                  </w:tr>
                  <w:tr>
                    <w:tblPrEx>
                      <w:jc w:val="left"/>
                      <w:tblCellMar>
                        <w:top w:w="0" w:type="dxa"/>
                        <w:left w:w="0" w:type="dxa"/>
                        <w:bottom w:w="0" w:type="dxa"/>
                        <w:right w:w="0" w:type="dxa"/>
                      </w:tblCellMar>
                    </w:tblPrEx>
                    <w:trPr>
                      <w:cantSplit w:val="0"/>
                      <w:trHeight w:val="24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55,000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 ($280,000 - $220,000)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expense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Current liabilities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86"/>
                    <w:gridCol w:w="3599"/>
                    <w:gridCol w:w="1333"/>
                    <w:gridCol w:w="1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Debit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55,000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trHeight w:val="225"/>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Current liabilities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stock</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Paid-in capital in excess of par</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252,000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Paid-in capital in excess of par *</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*Alternatively, this amount could be charged to Acquisition Expense.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On January 1, 16 Brown Inc. acquired Larson Company's net assets in exchange for Brown's common stock with a par value of $100,000 and a fair value of $800,000. Brown also paid $10,000 in direct acquisition costs and $15,000 in stock issuance costs.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this date, Larson's condensed account balances showed the following:</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301"/>
              <w:gridCol w:w="1670"/>
              <w:gridCol w:w="1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Book Value</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Fair Value</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and Equipment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440,000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Accumulated Depreciation</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Intangibles – Patents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Debt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Paid-in Capital</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 Brown's purchase of Larson Company's net assets.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8"/>
              <w:gridCol w:w="6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07"/>
                    <w:gridCol w:w="1580"/>
                    <w:gridCol w:w="1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price</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of acquired net assets: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and equipment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Intangibles - patents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debt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(110,000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720,000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80,000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53"/>
                    <w:gridCol w:w="1449"/>
                    <w:gridCol w:w="1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Debit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Credit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and 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Intangibles – Patents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Intangibles – Goodwill</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Current Liabilities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Long-term Debt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Stock</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Paid-in Capital in Excess of Par</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expenses*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treatment: debit Paid-In Capital in Excess of Par for issue costs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On January 1, 2016, Zebb and Nottle Companies had condensed balance sheets as shown below:</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258"/>
              <w:gridCol w:w="1691"/>
              <w:gridCol w:w="1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Zebb</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Nottle</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Company</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Company</w:t>
                  </w:r>
                </w:p>
              </w:tc>
            </w:tr>
            <w:tr>
              <w:tblPrEx>
                <w:jc w:val="left"/>
                <w:tblCellMar>
                  <w:top w:w="0" w:type="dxa"/>
                  <w:left w:w="0" w:type="dxa"/>
                  <w:bottom w:w="0" w:type="dxa"/>
                  <w:right w:w="0" w:type="dxa"/>
                </w:tblCellMar>
              </w:tblPrEx>
              <w:trPr>
                <w:cantSplit w:val="0"/>
                <w:trHeight w:val="225"/>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and Equipment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1,500,000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800,000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$2,500,000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$1,400,000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Debt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 $10 par</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Paid-in Capital in Excess of Par</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600,000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500,000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$2,500,000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$1,400,000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 the acquisition of Nottle's net assets, the issuance of the stock and/or payment of cash, and payment of the related costs. Assume that Zebb issued 30,000 shares of new common stock with a fair value of $25 per share and paid $500,000 cash for all of the net assets of Nottle. Acquisition costs of $50,000 and stock issuance costs of $20,000 were paid in cash. Current assets had a fair value of $650,000, plant and equipment had a fair value of $900,000, and long-term debt had a fair value of $330,000.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8"/>
              <w:gridCol w:w="6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27"/>
                    <w:gridCol w:w="1413"/>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650,000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and 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Expenses*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Current Liabilities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Long-Term Debt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Stock</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Paid-in Capital in Excess of Par</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 ($500,000 + 70,000)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570,000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treatment: debit Paid-in Capital in Excess of Par for issue costs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Calculation of goodwill</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753"/>
                    <w:gridCol w:w="1569"/>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price:</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 issued (30,000 shares x $25)</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750,000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$1,250,000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of acquired net assets: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$650,000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and equipment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debt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(330,000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1,120,000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130,000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On January 1, 2016, Honey Bee Corporation purchased the net assets of Green Hornet Company for $1,500,000. On this date, a condensed balance sheet for Green Hornet showed: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299"/>
              <w:gridCol w:w="1675"/>
              <w:gridCol w:w="1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Book</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Fair</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Value</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Value</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Investments in Securities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 (net)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700,000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1,500,000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Debt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550,000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 (no-par)</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350,000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1,500,000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 the entry on Honey Bee's books for the acquisition of Green Hornet's net assets.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8"/>
              <w:gridCol w:w="6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56"/>
                    <w:gridCol w:w="1568"/>
                    <w:gridCol w:w="1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price</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of acquired net assets: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investments in securities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debt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(600,000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1,550,000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 on acquisition of business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50,000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75"/>
                    <w:gridCol w:w="1402"/>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Investments in Securities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Current Liabilities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Long-Term Debt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Gain on Acquisition of Business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Diamond acquired Heart's net assets. At the time of the acquisition Heart's Balance sheet was as follows:</w:t>
            </w:r>
          </w:p>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6922"/>
              <w:gridCol w:w="1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 Net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Net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100,000</w:t>
                  </w:r>
                </w:p>
              </w:tc>
            </w:tr>
            <w:tr>
              <w:tblPrEx>
                <w:jc w:val="left"/>
                <w:tblCellMar>
                  <w:top w:w="0" w:type="dxa"/>
                  <w:left w:w="0" w:type="dxa"/>
                  <w:bottom w:w="0" w:type="dxa"/>
                  <w:right w:w="0" w:type="dxa"/>
                </w:tblCellMar>
              </w:tblPrEx>
              <w:trPr>
                <w:cantSplit w:val="0"/>
                <w:trHeight w:val="30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$600,000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Bonds Payable</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450,000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Stockholders' Equity</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$600,000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values on the date of acquisition:</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9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 Name</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Bonds payable</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costs: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 the entry for the purchase of the net assets of Heart by Diamond at the following cash prices: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8"/>
              <w:gridCol w:w="8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27"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27"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75"/>
                    <w:gridCol w:w="1627"/>
                    <w:gridCol w:w="1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of acquired net assets: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 name</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50 000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Bonds payable</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120,000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660,000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
                    <w:gridCol w:w="3579"/>
                    <w:gridCol w:w="1374"/>
                    <w:gridCol w:w="13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 Name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 ($700,000 - $660,000)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Expenses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Bonds Payable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Premium on Bonds Payable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 ($700,000 + $5,000)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81"/>
                    <w:gridCol w:w="3575"/>
                    <w:gridCol w:w="1373"/>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 Name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Expenses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Bonds Payable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Premium on Bonds Payable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Gain on Acquisition of Business ($300,000 - $660,000)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 ($300,000 + $5,000)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On January 1, July 1, and December 31, 2016, a condensed trial balance for Nelson Company showed the following debits and (credits):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04"/>
              <w:gridCol w:w="1612"/>
              <w:gridCol w:w="1612"/>
              <w:gridCol w:w="1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01/01/16</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07/01/16</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12/31/16</w:t>
                  </w:r>
                </w:p>
              </w:tc>
            </w:tr>
            <w:tr>
              <w:tblPrEx>
                <w:jc w:val="left"/>
                <w:tblCellMar>
                  <w:top w:w="0" w:type="dxa"/>
                  <w:left w:w="0" w:type="dxa"/>
                  <w:bottom w:w="0" w:type="dxa"/>
                  <w:right w:w="0" w:type="dxa"/>
                </w:tblCellMar>
              </w:tblPrEx>
              <w:trPr>
                <w:cantSplit w:val="0"/>
                <w:jc w:val="left"/>
              </w:trPr>
              <w:tc>
                <w:tcPr>
                  <w:tcW w:w="45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$340,000</w:t>
                  </w:r>
                </w:p>
              </w:tc>
            </w:tr>
            <w:tr>
              <w:tblPrEx>
                <w:jc w:val="left"/>
                <w:tblCellMar>
                  <w:top w:w="0" w:type="dxa"/>
                  <w:left w:w="0" w:type="dxa"/>
                  <w:bottom w:w="0" w:type="dxa"/>
                  <w:right w:w="0" w:type="dxa"/>
                </w:tblCellMar>
              </w:tblPrEx>
              <w:trPr>
                <w:cantSplit w:val="0"/>
                <w:jc w:val="left"/>
              </w:trPr>
              <w:tc>
                <w:tcPr>
                  <w:tcW w:w="45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and Equipment (net)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510,000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510,000</w:t>
                  </w:r>
                </w:p>
              </w:tc>
            </w:tr>
            <w:tr>
              <w:tblPrEx>
                <w:jc w:val="left"/>
                <w:tblCellMar>
                  <w:top w:w="0" w:type="dxa"/>
                  <w:left w:w="0" w:type="dxa"/>
                  <w:bottom w:w="0" w:type="dxa"/>
                  <w:right w:w="0" w:type="dxa"/>
                </w:tblCellMar>
              </w:tblPrEx>
              <w:trPr>
                <w:cantSplit w:val="0"/>
                <w:jc w:val="left"/>
              </w:trPr>
              <w:tc>
                <w:tcPr>
                  <w:tcW w:w="45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45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Debt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5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jc w:val="left"/>
                <w:tblCellMar>
                  <w:top w:w="0" w:type="dxa"/>
                  <w:left w:w="0" w:type="dxa"/>
                  <w:bottom w:w="0" w:type="dxa"/>
                  <w:right w:w="0" w:type="dxa"/>
                </w:tblCellMar>
              </w:tblPrEx>
              <w:trPr>
                <w:cantSplit w:val="0"/>
                <w:jc w:val="left"/>
              </w:trPr>
              <w:tc>
                <w:tcPr>
                  <w:tcW w:w="45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Paid-in Capital</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5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January 1</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45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Declared</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jc w:val="left"/>
                <w:tblCellMar>
                  <w:top w:w="0" w:type="dxa"/>
                  <w:left w:w="0" w:type="dxa"/>
                  <w:bottom w:w="0" w:type="dxa"/>
                  <w:right w:w="0" w:type="dxa"/>
                </w:tblCellMar>
              </w:tblPrEx>
              <w:trPr>
                <w:cantSplit w:val="0"/>
                <w:jc w:val="left"/>
              </w:trPr>
              <w:tc>
                <w:tcPr>
                  <w:tcW w:w="45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(900,000)</w:t>
                  </w:r>
                </w:p>
              </w:tc>
            </w:tr>
            <w:tr>
              <w:tblPrEx>
                <w:jc w:val="left"/>
                <w:tblCellMar>
                  <w:top w:w="0" w:type="dxa"/>
                  <w:left w:w="0" w:type="dxa"/>
                  <w:bottom w:w="0" w:type="dxa"/>
                  <w:right w:w="0" w:type="dxa"/>
                </w:tblCellMar>
              </w:tblPrEx>
              <w:trPr>
                <w:cantSplit w:val="0"/>
                <w:jc w:val="left"/>
              </w:trPr>
              <w:tc>
                <w:tcPr>
                  <w:tcW w:w="450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on July 1, 2016, Systems Corporation purchased the net assets of Nelson Company for $750,000 in cash. On this date, the fair values for certain net assets were: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919"/>
              <w:gridCol w:w="1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and Equipment (remaining life of 10 years)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Nelson Company's books were NOT closed on June 30, 2016.</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all of 2016, Systems' revenues and expenses were $1,500,000 and $1,200,000, respectively.</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891"/>
              <w:gridCol w:w="77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56"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244"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 the entry on Systems' books for the July 1, 2016 purchase of Nelson.</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83"/>
                    <w:gridCol w:w="3566"/>
                    <w:gridCol w:w="1377"/>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Debit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Credit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and 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 *</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Current Liabilities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Long-Term Debt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Goodwill is calculated as follows: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56"/>
                    <w:gridCol w:w="1575"/>
                    <w:gridCol w:w="1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price</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of acquired net assets: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and equipment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debt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(100,000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710,000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40,000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On January 1, 2016 the fair values of Pink Coral’s net assets were as follows: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404"/>
              <w:gridCol w:w="167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January 1, 2016, Blue Reef Company purchased the net assets of the Pink Coral Company by issuing 100,000 shares of its $1 par value stock when the fair value of the stock was $6.20. It was further agreed that Blue Reef would pay an additional amount on January 1, 2018, if the average income during the 2-year period of 2016-2017 exceeded $80,000 per year. The expected value of this consideration was calculated as $184,000; the measurement period is one year. Blue Reef paid $15,000 in professional fees to negotiate the purchase and construct the acquisition agreement and $10,000 in stock issuance costs.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 Prepare Blue Reef’s entries: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 January 1, 2016 to record the acquisition</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August 1, 2016 to revise the contingent consideration to $170,000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on January 1, 2016 to settle the contingent consideration clause of the agreement for $175,000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78"/>
                    <w:gridCol w:w="3604"/>
                    <w:gridCol w:w="1361"/>
                    <w:gridCol w:w="1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49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49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49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49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49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 *</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284,000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49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Liabilities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r>
                  <w:tr>
                    <w:tblPrEx>
                      <w:jc w:val="left"/>
                      <w:tblCellMar>
                        <w:top w:w="0" w:type="dxa"/>
                        <w:left w:w="0" w:type="dxa"/>
                        <w:bottom w:w="0" w:type="dxa"/>
                        <w:right w:w="0" w:type="dxa"/>
                      </w:tblCellMar>
                    </w:tblPrEx>
                    <w:trPr>
                      <w:cantSplit w:val="0"/>
                      <w:jc w:val="left"/>
                    </w:trPr>
                    <w:tc>
                      <w:tcPr>
                        <w:tcW w:w="6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49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Estimated Liability for Contingent Consideration</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184,000</w:t>
                        </w:r>
                      </w:p>
                    </w:tc>
                  </w:tr>
                  <w:tr>
                    <w:tblPrEx>
                      <w:jc w:val="left"/>
                      <w:tblCellMar>
                        <w:top w:w="0" w:type="dxa"/>
                        <w:left w:w="0" w:type="dxa"/>
                        <w:bottom w:w="0" w:type="dxa"/>
                        <w:right w:w="0" w:type="dxa"/>
                      </w:tblCellMar>
                    </w:tblPrEx>
                    <w:trPr>
                      <w:cantSplit w:val="0"/>
                      <w:jc w:val="left"/>
                    </w:trPr>
                    <w:tc>
                      <w:tcPr>
                        <w:tcW w:w="6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49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stock, $1 Par ($1 x 100,000 shares)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6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49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Paid-in Capital in Excess of Par ($620,000 - $100,000)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19"/>
                    <w:gridCol w:w="3689"/>
                    <w:gridCol w:w="1347"/>
                    <w:gridCol w:w="1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Expense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Paid-in Capital in Excess of Par **</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Alternatively, this amount could be charged to acquisition expense.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Goodwill is calculated as follows: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75"/>
                    <w:gridCol w:w="1564"/>
                    <w:gridCol w:w="1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price:</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of common stock issued ($6.20 x 100,000 shares)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$620,000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Contingent consideration</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184,000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804,000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of acquired net assets: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( 80,000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520,000</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284,000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82"/>
                    <w:gridCol w:w="3677"/>
                    <w:gridCol w:w="1322"/>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Liability for Contingent Consideration</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Goodwill</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adjustment is made to goodwill since this entry was made within the measurement period.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69"/>
                    <w:gridCol w:w="3613"/>
                    <w:gridCol w:w="1361"/>
                    <w:gridCol w:w="1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Liability for Contingent Consideration</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 on Estimated Contingent Consideration</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Blue Reef Company purchased the net assets of the Pink Coral Company on January 1, 2016, and made the following entry to record the purchase: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555"/>
              <w:gridCol w:w="1429"/>
              <w:gridCol w:w="1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2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3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2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3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2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3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2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w:t>
                  </w:r>
                </w:p>
              </w:tc>
              <w:tc>
                <w:tcPr>
                  <w:tcW w:w="13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2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13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2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Liabilities</w:t>
                  </w:r>
                </w:p>
              </w:tc>
              <w:tc>
                <w:tcPr>
                  <w:tcW w:w="13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r>
            <w:tr>
              <w:tblPrEx>
                <w:jc w:val="left"/>
                <w:tblCellMar>
                  <w:top w:w="0" w:type="dxa"/>
                  <w:left w:w="0" w:type="dxa"/>
                  <w:bottom w:w="0" w:type="dxa"/>
                  <w:right w:w="0" w:type="dxa"/>
                </w:tblCellMar>
              </w:tblPrEx>
              <w:trPr>
                <w:cantSplit w:val="0"/>
                <w:jc w:val="left"/>
              </w:trPr>
              <w:tc>
                <w:tcPr>
                  <w:tcW w:w="62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Stock, $1 Par</w:t>
                  </w:r>
                </w:p>
              </w:tc>
              <w:tc>
                <w:tcPr>
                  <w:tcW w:w="13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621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Paid-in Capital in Excess of Par</w:t>
                  </w:r>
                </w:p>
              </w:tc>
              <w:tc>
                <w:tcPr>
                  <w:tcW w:w="135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the required entry on January 1, 2018, assuming that additional shares would be issued on that date to compensate for any fall in the value of Blue Reef common stock below $16 per share. The settlement would be to cure the deficiency by issuing added shares based on their fair value on January 1, 2018. The fair price of the shares on January 1, 2018 was $10.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3"/>
              <w:gridCol w:w="6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69"/>
                    <w:gridCol w:w="1234"/>
                    <w:gridCol w:w="14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7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Paid-in Capital in Excess of Par</w:t>
                        </w:r>
                      </w:p>
                    </w:tc>
                    <w:tc>
                      <w:tcPr>
                        <w:tcW w:w="13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7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Stock, $1 par</w:t>
                        </w:r>
                      </w:p>
                    </w:tc>
                    <w:tc>
                      <w:tcPr>
                        <w:tcW w:w="13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577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3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7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Deficiency: ($16 - $10)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100,000 shares issued to acquire</w:t>
                        </w:r>
                      </w:p>
                    </w:tc>
                    <w:tc>
                      <w:tcPr>
                        <w:tcW w:w="13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r>
                    <w:tblPrEx>
                      <w:jc w:val="left"/>
                      <w:tblCellMar>
                        <w:top w:w="0" w:type="dxa"/>
                        <w:left w:w="0" w:type="dxa"/>
                        <w:bottom w:w="0" w:type="dxa"/>
                        <w:right w:w="0" w:type="dxa"/>
                      </w:tblCellMar>
                    </w:tblPrEx>
                    <w:trPr>
                      <w:cantSplit w:val="0"/>
                      <w:jc w:val="left"/>
                    </w:trPr>
                    <w:tc>
                      <w:tcPr>
                        <w:tcW w:w="577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 by $10 fair value</w:t>
                        </w:r>
                      </w:p>
                    </w:tc>
                    <w:tc>
                      <w:tcPr>
                        <w:tcW w:w="13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$10.00</w:t>
                        </w:r>
                      </w:p>
                    </w:tc>
                  </w:tr>
                  <w:tr>
                    <w:tblPrEx>
                      <w:jc w:val="left"/>
                      <w:tblCellMar>
                        <w:top w:w="0" w:type="dxa"/>
                        <w:left w:w="0" w:type="dxa"/>
                        <w:bottom w:w="0" w:type="dxa"/>
                        <w:right w:w="0" w:type="dxa"/>
                      </w:tblCellMar>
                    </w:tblPrEx>
                    <w:trPr>
                      <w:cantSplit w:val="0"/>
                      <w:jc w:val="left"/>
                    </w:trPr>
                    <w:tc>
                      <w:tcPr>
                        <w:tcW w:w="577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Added number of shares to issue</w:t>
                        </w:r>
                      </w:p>
                    </w:tc>
                    <w:tc>
                      <w:tcPr>
                        <w:tcW w:w="13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Poplar Corp. acquires the net assets of Sapling Company, which has the following balance sheet: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922"/>
              <w:gridCol w:w="1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 Net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 &amp; Building, Net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120,000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Bonds Payable</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110,000</w:t>
                  </w:r>
                </w:p>
              </w:tc>
            </w:tr>
            <w:tr>
              <w:tblPrEx>
                <w:jc w:val="left"/>
                <w:tblCellMar>
                  <w:top w:w="0" w:type="dxa"/>
                  <w:left w:w="0" w:type="dxa"/>
                  <w:bottom w:w="0" w:type="dxa"/>
                  <w:right w:w="0" w:type="dxa"/>
                </w:tblCellMar>
              </w:tblPrEx>
              <w:trPr>
                <w:cantSplit w:val="0"/>
                <w:trHeight w:val="315"/>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Stockholders' Equity</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$300,000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values on the date of acquisition:</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930"/>
              <w:gridCol w:w="1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 and building</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list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Bonds payable</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costs: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Poplar paid $300,000 what journal entries would be recorded by both Poplar Corp. and Sapling Company?</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8"/>
              <w:gridCol w:w="6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Poplar Corp:</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24"/>
                    <w:gridCol w:w="1414"/>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 &amp; Building</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List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 ($300,000 - $290,000)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trHeight w:val="24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Expenses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Bonds Payable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Premium on Bonds Payable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 ($300,000 + $10,000)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310,000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8820" w:type="dxa"/>
                        <w:gridSpan w:val="3"/>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69"/>
                    <w:gridCol w:w="1584"/>
                    <w:gridCol w:w="1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value of acquired net assets: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 and building</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trHeight w:val="216"/>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list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100,000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0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83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290,000</w:t>
                        </w:r>
                      </w:p>
                    </w:tc>
                    <w:tc>
                      <w:tcPr>
                        <w:tcW w:w="165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Sapling Company: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18"/>
                    <w:gridCol w:w="1417"/>
                    <w:gridCol w:w="1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Bonds Payable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Accounts Receivable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Inventory</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Land and Building</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r>
                    <w:tblPrEx>
                      <w:jc w:val="left"/>
                      <w:tblCellMar>
                        <w:top w:w="0" w:type="dxa"/>
                        <w:left w:w="0" w:type="dxa"/>
                        <w:bottom w:w="0" w:type="dxa"/>
                        <w:right w:w="0" w:type="dxa"/>
                      </w:tblCellMar>
                    </w:tblPrEx>
                    <w:trPr>
                      <w:cantSplit w:val="0"/>
                      <w:jc w:val="left"/>
                    </w:trPr>
                    <w:tc>
                      <w:tcPr>
                        <w:tcW w:w="594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Gain on Sale of Business ($300,000 - $100,000 - $110,000)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Chan Corporation purchased the net assets (existing liabilities were assumed) of the Don Company for $900,000 cash. The balance sheet for the Don Company on the date of acquisition showed the following:</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918"/>
              <w:gridCol w:w="1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820" w:type="dxa"/>
                  <w:gridSpan w:val="2"/>
                  <w:noWrap w:val="0"/>
                  <w:tcMar>
                    <w:top w:w="0" w:type="dxa"/>
                    <w:left w:w="90" w:type="dxa"/>
                    <w:bottom w:w="0" w:type="dxa"/>
                    <w:right w:w="9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Assets</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Accumulated depreciation</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Accumulated depreciation</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(250,000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$650,000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8820" w:type="dxa"/>
                  <w:gridSpan w:val="2"/>
                  <w:noWrap w:val="0"/>
                  <w:tcMar>
                    <w:top w:w="0" w:type="dxa"/>
                    <w:left w:w="90" w:type="dxa"/>
                    <w:bottom w:w="0" w:type="dxa"/>
                    <w:right w:w="9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Liabilities and Equity</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Bonds payable, 8%</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 $1 par</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Paid-in capital in excess of par</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150,000</w:t>
                  </w:r>
                </w:p>
              </w:tc>
            </w:tr>
            <w:tr>
              <w:tblPrEx>
                <w:jc w:val="left"/>
                <w:tblCellMar>
                  <w:top w:w="0" w:type="dxa"/>
                  <w:left w:w="0" w:type="dxa"/>
                  <w:bottom w:w="0" w:type="dxa"/>
                  <w:right w:w="0" w:type="dxa"/>
                </w:tblCellMar>
              </w:tblPrEx>
              <w:trPr>
                <w:cantSplit w:val="0"/>
                <w:trHeight w:val="285"/>
                <w:jc w:val="left"/>
              </w:trPr>
              <w:tc>
                <w:tcPr>
                  <w:tcW w:w="738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p>
              </w:tc>
              <w:tc>
                <w:tcPr>
                  <w:tcW w:w="1620"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$650,000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equipment has a fair value of $300,000, and the plant assets have a fair value of $500,000. Assume that the Chan Corporation has an effective tax rate of 40%. Prepare the entry to record the purchase of the Don Company for each of the following separate cases with specific added information:</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50"/>
              <w:gridCol w:w="7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38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sale is a nontaxable exchange to the seller that limits the buyer to depreciation and amortization on only book value for tax purposes.</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8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38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bonds have a current fair value of $190,000. The transaction is a taxable exchange.</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8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38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$100,000 of prior-year losses that can be used to claim a tax refund. The transaction is a taxable exchange.</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8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388" w:type="dxa"/>
                  <w:noWrap w:val="0"/>
                  <w:tcMar>
                    <w:top w:w="0" w:type="dxa"/>
                    <w:left w:w="90" w:type="dxa"/>
                    <w:bottom w:w="0" w:type="dxa"/>
                    <w:right w:w="9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$150,000 of past losses that can be carried forward to future years to offset taxes that will be due. The transaction is a taxable exchange.</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78"/>
                    <w:gridCol w:w="3569"/>
                    <w:gridCol w:w="1378"/>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Deferred Tax Liability*</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Bonds Payable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88" w:type="dxa"/>
                        <w:gridSpan w:val="3"/>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88" w:type="dxa"/>
                        <w:gridSpan w:val="3"/>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40%</w:t>
                        </w:r>
                        <w:r>
                          <w:rPr>
                            <w:rStyle w:val="DefaultParagraphFont"/>
                            <w:rFonts w:ascii="Times New Roman" w:eastAsia="Times New Roman" w:hAnsi="Times New Roman" w:cs="Times New Roman"/>
                            <w:b w:val="0"/>
                            <w:bCs w:val="0"/>
                            <w:i w:val="0"/>
                            <w:iCs w:val="0"/>
                            <w:smallCaps w:val="0"/>
                            <w:color w:val="000000"/>
                            <w:sz w:val="22"/>
                            <w:szCs w:val="22"/>
                            <w:bdr w:val="nil"/>
                            <w:rtl w:val="0"/>
                          </w:rPr>
                          <w:t> × </w:t>
                        </w:r>
                        <w:r>
                          <w:rPr>
                            <w:rStyle w:val="DefaultParagraphFont"/>
                            <w:rFonts w:ascii="Times New Roman" w:eastAsia="Times New Roman" w:hAnsi="Times New Roman" w:cs="Times New Roman"/>
                            <w:b w:val="0"/>
                            <w:bCs w:val="0"/>
                            <w:i w:val="0"/>
                            <w:iCs w:val="0"/>
                            <w:smallCaps w:val="0"/>
                            <w:color w:val="000000"/>
                            <w:sz w:val="22"/>
                            <w:szCs w:val="22"/>
                            <w:bdr w:val="nil"/>
                            <w:rtl w:val="0"/>
                          </w:rPr>
                          <w:t>($800,000 Fair Value $550,000 Book Value of fixed assets)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83"/>
                    <w:gridCol w:w="3566"/>
                    <w:gridCol w:w="1377"/>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Bonds Payable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77"/>
                    <w:gridCol w:w="3571"/>
                    <w:gridCol w:w="1377"/>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Refund Receivable ($100,000 x 40%)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Bonds Payable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83"/>
                    <w:gridCol w:w="3566"/>
                    <w:gridCol w:w="1377"/>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Deferred Tax Asset ($150,000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Bonds Payable</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50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Cash</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acquisitions are often friendly, there are numerous occasions when a party does not want to be acquired. Discuss possible defensive strategies that firms can implement to fend off a hostile takeover attempt.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GREENMAIL: A strategy is which the target company pays a premium price to purchase treasury shares. The shares purchased are owned by the hostile acquirer or shareholders who might sell to the hostile acquirer.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KNIGHT: A strategy in which the target company locates a different company to take it over, a company that is more likely to keep current management and employees in place.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THE CROWN JEWELS: A strategy in which the target company sells off vital assets in order to make the company less attractive to prospective acquirers.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POISON PILL: A strategy in which the target company issues stock rights to existing shareholders at a price far below fair value. The rights are only exercisable if an acquirer makes a bid for the target company. The resulting new shares make the acquisition more expensive.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LEVERAGED BUYOUT: A strategy in which the management of the target company attempts to purchase a controlling interest in the target company, in order to continue control of the company.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Goodwill is an intangible asset. There are a variety of recommendations about how intangible assets should be included in the financial statements. Discuss the recommendations for proper disclosure of goodwill. Include a comparison with disclosure of other intangible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 arises when a company is purchased and the value assigned to identifiable assets, including intangible assets, is in excess of the price paid. As such goodwill represents the value of intangible assets that could not be valued individually.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a purchase some intangible assets such as patents, customer lists, brand names, and favorable lease agreements may exist but have not been recorded. The fair value of these intangible assets should be determined and recorded separate from the value of goodwill associated with the purchase.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assets other than goodwill will be amortized over their economic lives. The amortization method should reflect the pattern of benefits conveyed by the asset, so that a straight-line method is to be used unless another systematic method is appropriate.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assets may be reported individually, in groups, or in the aggregate on the balance sheet after fixed assets and are displayed net of cumulative amortization. Details for current and cumulative amortization, along with significant residual values, are shown in the footnotes to the balance sheet.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 is subject to impairment procedures. These concerns must be addressed related to goodwill: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7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38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 must be allocated to reporting units if the purchased company contains more than one reporting unit.</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38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reporting unit valuation plan must be established within one year of a purchase. This will be used as the measurement process in future periods.</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38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Impairment testing is normally done on an annual basis.</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838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procedure for determining impairment must be established.</w:t>
                        </w:r>
                      </w:p>
                    </w:tc>
                  </w:tr>
                  <w:tr>
                    <w:tblPrEx>
                      <w:jc w:val="left"/>
                      <w:tblCellMar>
                        <w:top w:w="0" w:type="dxa"/>
                        <w:left w:w="0" w:type="dxa"/>
                        <w:bottom w:w="0" w:type="dxa"/>
                        <w:right w:w="0" w:type="dxa"/>
                      </w:tblCellMar>
                    </w:tblPrEx>
                    <w:trPr>
                      <w:cantSplit w:val="0"/>
                      <w:jc w:val="left"/>
                    </w:trPr>
                    <w:tc>
                      <w:tcPr>
                        <w:tcW w:w="612"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8388"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procedure for determining the amount of the impairment loss, which is also the decrease in the goodwill amount recorded, must be established.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 is considered impaired when the implied fair value of reporting unit is less than the carrying value of the reporting unit's net assets. Once goodwill is written down, it cannot be adjusted to a higher amount.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to goodwill must be disclosed. The disclosure would include the amount of goodwill acquired, the goodwill impairment losses, and the goodwill written off as part of a disposal of a reporting unit.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ADAC.FISC.1-4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ADAC.FISC.1-6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ADAC.FISC.1-7</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01—Business Combinations: New Rules for a Long-Standing Business Practice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01—Business Combinations: New Rules for a Long-Standing Business Practice</dc:title>
  <cp:revision>0</cp:revision>
</cp:coreProperties>
</file>