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14:paraId="466C6F24" w14:textId="77777777" w:rsidR="009032CB" w:rsidRPr="00921F39" w:rsidRDefault="003C2485" w:rsidP="009032CB">
      <w:pPr>
        <w:spacing w:after="0"/>
        <w:jc w:val="center"/>
        <w:rPr>
          <w:rFonts w:ascii="Garamond" w:hAnsi="Garamond"/>
          <w:sz w:val="22"/>
          <w:szCs w:val="22"/>
        </w:rPr>
      </w:pPr>
      <w:r w:rsidRPr="000D2CA3">
        <w:tab/>
      </w:r>
      <w:bookmarkStart w:id="2" w:name="_GoBack"/>
      <w:bookmarkEnd w:id="2"/>
    </w:p>
    <w:p w14:paraId="48F09EBB" w14:textId="77777777" w:rsidR="009032CB" w:rsidRPr="00921F39" w:rsidRDefault="009032CB" w:rsidP="009032CB">
      <w:pPr>
        <w:spacing w:after="0"/>
        <w:jc w:val="center"/>
        <w:rPr>
          <w:rFonts w:ascii="Garamond" w:hAnsi="Garamond"/>
          <w:sz w:val="22"/>
          <w:szCs w:val="22"/>
        </w:rPr>
      </w:pPr>
    </w:p>
    <w:p w14:paraId="52063FED" w14:textId="77777777" w:rsidR="009032CB" w:rsidRPr="00765342" w:rsidRDefault="009032CB" w:rsidP="009032CB">
      <w:pPr>
        <w:pStyle w:val="CaseTitleLine"/>
      </w:pPr>
    </w:p>
    <w:p w14:paraId="54CF58B0" w14:textId="2A5E3705" w:rsidR="009032CB" w:rsidRDefault="009032CB" w:rsidP="009032CB">
      <w:pPr>
        <w:pStyle w:val="CaseTitle"/>
      </w:pPr>
      <w:r w:rsidRPr="001276C5">
        <w:t>The Battle for Value, 2016: FedEx Corp. v</w:t>
      </w:r>
      <w:r>
        <w:t>ersu</w:t>
      </w:r>
      <w:r w:rsidRPr="001276C5">
        <w:t>s United Parcel Service, Inc.</w:t>
      </w:r>
    </w:p>
    <w:p w14:paraId="7B718EA8" w14:textId="7E780BF4" w:rsidR="009032CB" w:rsidRDefault="009032CB" w:rsidP="009032CB">
      <w:pPr>
        <w:pStyle w:val="CaseTitle"/>
      </w:pPr>
    </w:p>
    <w:p w14:paraId="5E6F88A6" w14:textId="1279D86D" w:rsidR="009032CB" w:rsidRPr="009032CB" w:rsidRDefault="009032CB" w:rsidP="009032CB">
      <w:pPr>
        <w:pStyle w:val="CaseTitle"/>
        <w:rPr>
          <w:sz w:val="22"/>
          <w:szCs w:val="22"/>
        </w:rPr>
      </w:pPr>
      <w:r w:rsidRPr="009032CB">
        <w:rPr>
          <w:sz w:val="22"/>
          <w:szCs w:val="22"/>
        </w:rPr>
        <w:t>Teaching Note</w:t>
      </w:r>
    </w:p>
    <w:p w14:paraId="318A3FDD" w14:textId="77777777" w:rsidR="009032CB" w:rsidRDefault="009032CB" w:rsidP="009032CB">
      <w:pPr>
        <w:pStyle w:val="CaseTitleLine"/>
      </w:pPr>
    </w:p>
    <w:p w14:paraId="189A0203" w14:textId="77777777" w:rsidR="00E8093F" w:rsidRPr="000D2CA3" w:rsidRDefault="003C2485" w:rsidP="009032CB">
      <w:pPr>
        <w:pStyle w:val="CaseHead1"/>
      </w:pPr>
      <w:r w:rsidRPr="000D2CA3">
        <w:t>Synopsis and Objectives</w:t>
      </w:r>
    </w:p>
    <w:p w14:paraId="189A0205" w14:textId="11B29495" w:rsidR="00E8093F" w:rsidRPr="000D2CA3" w:rsidRDefault="003C2485" w:rsidP="009032CB">
      <w:pPr>
        <w:pStyle w:val="CaseParagraph"/>
      </w:pPr>
      <w:r w:rsidRPr="000D2CA3">
        <w:t xml:space="preserve">Set in </w:t>
      </w:r>
      <w:r w:rsidR="00AF3CB0" w:rsidRPr="000D2CA3">
        <w:t>April</w:t>
      </w:r>
      <w:r w:rsidRPr="000D2CA3">
        <w:t xml:space="preserve"> 20</w:t>
      </w:r>
      <w:r w:rsidR="00AF3CB0" w:rsidRPr="000D2CA3">
        <w:t>16</w:t>
      </w:r>
      <w:r w:rsidRPr="000D2CA3">
        <w:t>, this case invites studen</w:t>
      </w:r>
      <w:r w:rsidR="004362D9" w:rsidRPr="000D2CA3">
        <w:t>ts</w:t>
      </w:r>
      <w:r w:rsidRPr="000D2CA3">
        <w:t xml:space="preserve"> to assess </w:t>
      </w:r>
      <w:r w:rsidR="000D2CA3" w:rsidRPr="000D2CA3">
        <w:t>FedEx Corp</w:t>
      </w:r>
      <w:r w:rsidR="000D2CA3">
        <w:t xml:space="preserve">.’s and </w:t>
      </w:r>
      <w:r w:rsidR="000D2CA3" w:rsidRPr="000D2CA3">
        <w:t xml:space="preserve">United Parcel Service, </w:t>
      </w:r>
      <w:proofErr w:type="gramStart"/>
      <w:r w:rsidR="000D2CA3" w:rsidRPr="000D2CA3">
        <w:t>Inc</w:t>
      </w:r>
      <w:r w:rsidR="000D2CA3">
        <w:t>.’s</w:t>
      </w:r>
      <w:r w:rsidR="000D2CA3" w:rsidRPr="000D2CA3">
        <w:t xml:space="preserve"> (UPS</w:t>
      </w:r>
      <w:r w:rsidR="000D2CA3">
        <w:t>’s</w:t>
      </w:r>
      <w:r w:rsidR="000D2CA3" w:rsidRPr="000D2CA3">
        <w:t>)</w:t>
      </w:r>
      <w:proofErr w:type="gramEnd"/>
      <w:r w:rsidRPr="000D2CA3">
        <w:t xml:space="preserve"> financial performance. The two firms have competed for dominance of the package</w:t>
      </w:r>
      <w:r w:rsidR="000A6FA3" w:rsidRPr="000D2CA3">
        <w:t>-</w:t>
      </w:r>
      <w:r w:rsidR="00AF3CB0" w:rsidRPr="000D2CA3">
        <w:t>delivery</w:t>
      </w:r>
      <w:r w:rsidRPr="000D2CA3">
        <w:t xml:space="preserve"> industry. This case is intended for use in an introductory discussion of corporate value creation. It requires </w:t>
      </w:r>
      <w:r w:rsidR="00757815" w:rsidRPr="000D2CA3">
        <w:t>few</w:t>
      </w:r>
      <w:r w:rsidRPr="000D2CA3">
        <w:t xml:space="preserve"> numerical computations from the student; rather, the tasks for the student are to interpret the results and to reflect upon their implications. The contrasting record of the two firms affords a platform to:</w:t>
      </w:r>
    </w:p>
    <w:p w14:paraId="189A0208" w14:textId="0B0CF6AA" w:rsidR="00E8093F" w:rsidRPr="000D2CA3" w:rsidRDefault="003C2485" w:rsidP="009032CB">
      <w:pPr>
        <w:pStyle w:val="CaseBullets1"/>
      </w:pPr>
      <w:r w:rsidRPr="000D2CA3">
        <w:t xml:space="preserve">Assess </w:t>
      </w:r>
      <w:r w:rsidR="00AF3CB0" w:rsidRPr="000D2CA3">
        <w:t>and compare the</w:t>
      </w:r>
      <w:r w:rsidRPr="000D2CA3">
        <w:t xml:space="preserve"> financial performance and health</w:t>
      </w:r>
      <w:r w:rsidR="00AF3CB0" w:rsidRPr="000D2CA3">
        <w:t xml:space="preserve"> of two organizations</w:t>
      </w:r>
      <w:r w:rsidRPr="000D2CA3">
        <w:t xml:space="preserve">. The case provides historical </w:t>
      </w:r>
      <w:r w:rsidR="00AF3CB0" w:rsidRPr="000D2CA3">
        <w:t xml:space="preserve">financial, market, and </w:t>
      </w:r>
      <w:r w:rsidRPr="000D2CA3">
        <w:t xml:space="preserve">economic </w:t>
      </w:r>
      <w:r w:rsidR="00AF3CB0" w:rsidRPr="000D2CA3">
        <w:t>profit analysis for both firms. The case provides a stark contrast between backward-looking financial performance and forward-looking market expectations of performance.</w:t>
      </w:r>
    </w:p>
    <w:p w14:paraId="59D68D1F" w14:textId="7674BBD3" w:rsidR="00AF3CB0" w:rsidRPr="000D2CA3" w:rsidRDefault="00AF3CB0" w:rsidP="009032CB">
      <w:pPr>
        <w:pStyle w:val="CaseBullets1"/>
      </w:pPr>
      <w:r w:rsidRPr="000D2CA3">
        <w:t xml:space="preserve">Motivate definitions of corporate excellence, with particular emphasis </w:t>
      </w:r>
      <w:r w:rsidR="00FC06E1" w:rsidRPr="000D2CA3">
        <w:t>o</w:t>
      </w:r>
      <w:r w:rsidRPr="000D2CA3">
        <w:t>n comparing operational and financial excellence.</w:t>
      </w:r>
    </w:p>
    <w:p w14:paraId="189A0209" w14:textId="5C016857" w:rsidR="00E91E82" w:rsidRPr="000D2CA3" w:rsidRDefault="003C2485" w:rsidP="009032CB">
      <w:pPr>
        <w:pStyle w:val="CaseBullets1"/>
      </w:pPr>
      <w:r w:rsidRPr="000D2CA3">
        <w:t xml:space="preserve">Evaluate the financial implications of competition and corporate transformation. </w:t>
      </w:r>
    </w:p>
    <w:p w14:paraId="189A020A" w14:textId="41335A32" w:rsidR="00E8093F" w:rsidRPr="000D2CA3" w:rsidRDefault="003C2485" w:rsidP="009032CB">
      <w:pPr>
        <w:pStyle w:val="CaseHead1"/>
      </w:pPr>
      <w:r w:rsidRPr="000D2CA3">
        <w:t>Suggested Questions for Advance Assignment to Students</w:t>
      </w:r>
    </w:p>
    <w:p w14:paraId="2F67D2C2" w14:textId="410F8A05" w:rsidR="00AF3CB0" w:rsidRPr="000D2CA3" w:rsidRDefault="00813E16" w:rsidP="009032CB">
      <w:pPr>
        <w:pStyle w:val="CaseNumberList"/>
        <w:numPr>
          <w:ilvl w:val="0"/>
          <w:numId w:val="36"/>
        </w:numPr>
        <w:ind w:left="720"/>
      </w:pPr>
      <w:r w:rsidRPr="000D2CA3">
        <w:t>D</w:t>
      </w:r>
      <w:r w:rsidR="00AF3CB0" w:rsidRPr="000D2CA3">
        <w:t>escribe the competition in the overnight package</w:t>
      </w:r>
      <w:r w:rsidR="000A6FA3" w:rsidRPr="000D2CA3">
        <w:t>-</w:t>
      </w:r>
      <w:r w:rsidR="00AF3CB0" w:rsidRPr="000D2CA3">
        <w:t>delivery industry, and the strategies by which those two firms are meeting the competition. What are the enabling and inhibiting factors facing the two firms as they pursue their goals? Do you think that either firm can attain a sustainable competitive advantage in this business?</w:t>
      </w:r>
    </w:p>
    <w:p w14:paraId="3B2F3E09" w14:textId="5D424255" w:rsidR="00AF3CB0" w:rsidRPr="000D2CA3" w:rsidRDefault="00AF3CB0" w:rsidP="009032CB">
      <w:pPr>
        <w:pStyle w:val="CaseNumberList"/>
        <w:numPr>
          <w:ilvl w:val="0"/>
          <w:numId w:val="36"/>
        </w:numPr>
        <w:ind w:left="720"/>
      </w:pPr>
      <w:r w:rsidRPr="000D2CA3">
        <w:t>How are FedEx and UPS performing financially? Which</w:t>
      </w:r>
      <w:r w:rsidR="00813E16" w:rsidRPr="000D2CA3">
        <w:t xml:space="preserve"> firm is doing better? P</w:t>
      </w:r>
      <w:r w:rsidRPr="000D2CA3">
        <w:t>repare to discuss the insights you derived from the two firms’ financial statements, financial ratios, economic profit, and stock-price performance.</w:t>
      </w:r>
    </w:p>
    <w:p w14:paraId="23A98FDE" w14:textId="62ACAA20" w:rsidR="00AF3CB0" w:rsidRPr="000D2CA3" w:rsidRDefault="00AF3CB0" w:rsidP="009032CB">
      <w:pPr>
        <w:pStyle w:val="CaseNumberList"/>
        <w:numPr>
          <w:ilvl w:val="0"/>
          <w:numId w:val="36"/>
        </w:numPr>
        <w:ind w:left="720"/>
      </w:pPr>
      <w:r w:rsidRPr="000D2CA3">
        <w:t xml:space="preserve">If you had to identify one </w:t>
      </w:r>
      <w:r w:rsidR="00757815" w:rsidRPr="000D2CA3">
        <w:t xml:space="preserve">of those </w:t>
      </w:r>
      <w:r w:rsidRPr="000D2CA3">
        <w:t>companies as excellent, which company would you choose? On what basis did you make your de</w:t>
      </w:r>
      <w:r w:rsidR="00004571" w:rsidRPr="000D2CA3">
        <w:t xml:space="preserve">cision? </w:t>
      </w:r>
    </w:p>
    <w:p w14:paraId="189A0210" w14:textId="77777777" w:rsidR="00E8093F" w:rsidRPr="000D2CA3" w:rsidRDefault="008E07D4" w:rsidP="000D2CA3">
      <w:pPr>
        <w:jc w:val="both"/>
        <w:rPr>
          <w:rFonts w:ascii="Garamond" w:hAnsi="Garamond"/>
          <w:sz w:val="22"/>
          <w:szCs w:val="22"/>
        </w:rPr>
      </w:pPr>
    </w:p>
    <w:p w14:paraId="189A0212" w14:textId="77777777" w:rsidR="00E8093F" w:rsidRPr="000D2CA3" w:rsidRDefault="003C2485" w:rsidP="009032CB">
      <w:pPr>
        <w:pStyle w:val="CaseHead1"/>
      </w:pPr>
      <w:r w:rsidRPr="000D2CA3">
        <w:t>Hypothetical Teaching Outline</w:t>
      </w:r>
    </w:p>
    <w:p w14:paraId="189A0214" w14:textId="2023726B" w:rsidR="00F97803" w:rsidRPr="009032CB" w:rsidRDefault="00DF3687" w:rsidP="009032CB">
      <w:pPr>
        <w:pStyle w:val="CaseNumberList"/>
        <w:numPr>
          <w:ilvl w:val="0"/>
          <w:numId w:val="37"/>
        </w:numPr>
        <w:ind w:left="720"/>
        <w:rPr>
          <w:rStyle w:val="CaseItalic"/>
        </w:rPr>
      </w:pPr>
      <w:r w:rsidRPr="009032CB">
        <w:rPr>
          <w:rStyle w:val="CaseItalic"/>
        </w:rPr>
        <w:t>What is going on in the package</w:t>
      </w:r>
      <w:r w:rsidR="000A6FA3" w:rsidRPr="009032CB">
        <w:rPr>
          <w:rStyle w:val="CaseItalic"/>
        </w:rPr>
        <w:t>-</w:t>
      </w:r>
      <w:r w:rsidRPr="009032CB">
        <w:rPr>
          <w:rStyle w:val="CaseItalic"/>
        </w:rPr>
        <w:t xml:space="preserve">delivery </w:t>
      </w:r>
      <w:r w:rsidR="00183196" w:rsidRPr="009032CB">
        <w:rPr>
          <w:rStyle w:val="CaseItalic"/>
        </w:rPr>
        <w:t>industry</w:t>
      </w:r>
      <w:r w:rsidRPr="009032CB">
        <w:rPr>
          <w:rStyle w:val="CaseItalic"/>
        </w:rPr>
        <w:t>?</w:t>
      </w:r>
      <w:r w:rsidR="001171D2" w:rsidRPr="009032CB">
        <w:rPr>
          <w:rStyle w:val="CaseItalic"/>
        </w:rPr>
        <w:t xml:space="preserve"> </w:t>
      </w:r>
    </w:p>
    <w:p w14:paraId="189A0216" w14:textId="2FE01EFF" w:rsidR="00F97803" w:rsidRPr="000D2CA3" w:rsidRDefault="00183196" w:rsidP="009032CB">
      <w:pPr>
        <w:pStyle w:val="CaseParagraph"/>
        <w:spacing w:after="220"/>
      </w:pPr>
      <w:r w:rsidRPr="000D2CA3">
        <w:t xml:space="preserve">This </w:t>
      </w:r>
      <w:proofErr w:type="gramStart"/>
      <w:r w:rsidRPr="000D2CA3">
        <w:t>questions</w:t>
      </w:r>
      <w:proofErr w:type="gramEnd"/>
      <w:r w:rsidRPr="000D2CA3">
        <w:t xml:space="preserve"> sets the stage for the class discussion. </w:t>
      </w:r>
      <w:r w:rsidR="00A95B9C" w:rsidRPr="000D2CA3">
        <w:t>Students are likely to discuss</w:t>
      </w:r>
      <w:r w:rsidRPr="000D2CA3">
        <w:t xml:space="preserve"> the </w:t>
      </w:r>
      <w:r w:rsidR="00A95B9C" w:rsidRPr="000D2CA3">
        <w:t>boon to the package</w:t>
      </w:r>
      <w:r w:rsidR="000A6FA3" w:rsidRPr="000D2CA3">
        <w:t>-</w:t>
      </w:r>
      <w:r w:rsidR="00A95B9C" w:rsidRPr="000D2CA3">
        <w:t>delivery industry caused by the rise of e-commerce and the threat of entry by online retailers.</w:t>
      </w:r>
      <w:r w:rsidR="00E37A94" w:rsidRPr="000D2CA3">
        <w:t xml:space="preserve"> In addition</w:t>
      </w:r>
      <w:r w:rsidR="00FC06E1" w:rsidRPr="000D2CA3">
        <w:t>,</w:t>
      </w:r>
      <w:r w:rsidR="00E37A94" w:rsidRPr="000D2CA3">
        <w:t xml:space="preserve"> they are likely to talk about the competition between FedEx and UPS.</w:t>
      </w:r>
    </w:p>
    <w:p w14:paraId="189A0218" w14:textId="67A56189" w:rsidR="00F97803" w:rsidRPr="009032CB" w:rsidRDefault="0053066F" w:rsidP="009032CB">
      <w:pPr>
        <w:pStyle w:val="CaseNumberList"/>
        <w:numPr>
          <w:ilvl w:val="0"/>
          <w:numId w:val="37"/>
        </w:numPr>
        <w:ind w:left="720"/>
        <w:rPr>
          <w:rStyle w:val="CaseItalic"/>
        </w:rPr>
      </w:pPr>
      <w:r w:rsidRPr="009032CB">
        <w:rPr>
          <w:rStyle w:val="CaseItalic"/>
        </w:rPr>
        <w:lastRenderedPageBreak/>
        <w:t xml:space="preserve">Do you </w:t>
      </w:r>
      <w:r w:rsidR="00813E16" w:rsidRPr="009032CB">
        <w:rPr>
          <w:rStyle w:val="CaseItalic"/>
        </w:rPr>
        <w:t xml:space="preserve">see this market as highly </w:t>
      </w:r>
      <w:r w:rsidR="000D2CA3" w:rsidRPr="009032CB">
        <w:rPr>
          <w:rStyle w:val="CaseItalic"/>
        </w:rPr>
        <w:t>competitive</w:t>
      </w:r>
      <w:r w:rsidRPr="009032CB">
        <w:rPr>
          <w:rStyle w:val="CaseItalic"/>
        </w:rPr>
        <w:t>?</w:t>
      </w:r>
      <w:r w:rsidR="00FC06E1" w:rsidRPr="009032CB">
        <w:rPr>
          <w:rStyle w:val="CaseItalic"/>
        </w:rPr>
        <w:t xml:space="preserve"> W</w:t>
      </w:r>
      <w:r w:rsidRPr="009032CB">
        <w:rPr>
          <w:rStyle w:val="CaseItalic"/>
        </w:rPr>
        <w:t>hy or why not?</w:t>
      </w:r>
      <w:r w:rsidR="00CD5292" w:rsidRPr="009032CB">
        <w:rPr>
          <w:rStyle w:val="CaseItalic"/>
        </w:rPr>
        <w:t xml:space="preserve"> How are the two firms competing? What are the competitive prospects for the </w:t>
      </w:r>
      <w:proofErr w:type="gramStart"/>
      <w:r w:rsidR="00CD5292" w:rsidRPr="009032CB">
        <w:rPr>
          <w:rStyle w:val="CaseItalic"/>
        </w:rPr>
        <w:t>foreseeable</w:t>
      </w:r>
      <w:proofErr w:type="gramEnd"/>
      <w:r w:rsidR="00CD5292" w:rsidRPr="009032CB">
        <w:rPr>
          <w:rStyle w:val="CaseItalic"/>
        </w:rPr>
        <w:t xml:space="preserve"> future?</w:t>
      </w:r>
    </w:p>
    <w:p w14:paraId="189A021E" w14:textId="1031C37C" w:rsidR="00F97803" w:rsidRPr="000D2CA3" w:rsidRDefault="00111CD2" w:rsidP="009032CB">
      <w:pPr>
        <w:pStyle w:val="CaseParagraph"/>
      </w:pPr>
      <w:r w:rsidRPr="000D2CA3">
        <w:t>Most students argue that this is a highly competitive market with</w:t>
      </w:r>
      <w:r w:rsidR="003C2485" w:rsidRPr="000D2CA3">
        <w:t xml:space="preserve"> intense warfare in virtually all fun</w:t>
      </w:r>
      <w:r w:rsidRPr="000D2CA3">
        <w:t>ctional areas of the two firms. The lines of competition include “tit-for-tat” entr</w:t>
      </w:r>
      <w:r w:rsidR="00FC06E1" w:rsidRPr="000D2CA3">
        <w:t>ies</w:t>
      </w:r>
      <w:r w:rsidRPr="000D2CA3">
        <w:t xml:space="preserve"> across many product</w:t>
      </w:r>
      <w:r w:rsidR="00FC06E1" w:rsidRPr="000D2CA3">
        <w:t>s</w:t>
      </w:r>
      <w:r w:rsidRPr="000D2CA3">
        <w:t xml:space="preserve">, services, and geographies. </w:t>
      </w:r>
      <w:r w:rsidR="00FC06E1" w:rsidRPr="000D2CA3">
        <w:t>Case</w:t>
      </w:r>
      <w:r w:rsidRPr="000D2CA3">
        <w:t xml:space="preserve"> Exhibit 4 provides a particularly good example of the competition and the difficulty in differentiation across the two companies.</w:t>
      </w:r>
      <w:r w:rsidR="00362132" w:rsidRPr="000D2CA3">
        <w:t xml:space="preserve"> </w:t>
      </w:r>
      <w:r w:rsidR="00E13301" w:rsidRPr="000D2CA3">
        <w:t>There is much for the students to ar</w:t>
      </w:r>
      <w:r w:rsidR="00FC06E1" w:rsidRPr="000D2CA3">
        <w:t>t</w:t>
      </w:r>
      <w:r w:rsidR="00E13301" w:rsidRPr="000D2CA3">
        <w:t xml:space="preserve">iculate as examples of competition. </w:t>
      </w:r>
      <w:r w:rsidR="00065EDD" w:rsidRPr="000D2CA3">
        <w:t>One might</w:t>
      </w:r>
      <w:r w:rsidR="00813E16" w:rsidRPr="000D2CA3">
        <w:t xml:space="preserve"> expect that the basis of compe</w:t>
      </w:r>
      <w:r w:rsidR="00065EDD" w:rsidRPr="000D2CA3">
        <w:t>tition will continue to be cost efficiency</w:t>
      </w:r>
      <w:r w:rsidR="00813E16" w:rsidRPr="000D2CA3">
        <w:t xml:space="preserve">, </w:t>
      </w:r>
      <w:r w:rsidR="00065EDD" w:rsidRPr="000D2CA3">
        <w:t>service</w:t>
      </w:r>
      <w:r w:rsidR="00813E16" w:rsidRPr="000D2CA3">
        <w:t>, and product and geographic reach</w:t>
      </w:r>
      <w:r w:rsidR="00065EDD" w:rsidRPr="000D2CA3">
        <w:t>.</w:t>
      </w:r>
    </w:p>
    <w:p w14:paraId="3A3A3B3E" w14:textId="181030E8" w:rsidR="00E13301" w:rsidRPr="000D2CA3" w:rsidRDefault="00E13301" w:rsidP="009032CB">
      <w:pPr>
        <w:pStyle w:val="CaseParagraph"/>
        <w:spacing w:after="220"/>
      </w:pPr>
      <w:r w:rsidRPr="000D2CA3">
        <w:t>Other students will maintain that this market is not highly competitive. Their view may center on the oligopolistic nature of the industry</w:t>
      </w:r>
      <w:r w:rsidR="00FC06E1" w:rsidRPr="000D2CA3">
        <w:t>,</w:t>
      </w:r>
      <w:r w:rsidRPr="000D2CA3">
        <w:t xml:space="preserve"> with two main players that appear to demonstrate some level of cooperation. </w:t>
      </w:r>
      <w:r w:rsidR="00306CCF" w:rsidRPr="000D2CA3">
        <w:t>The financial performance provide</w:t>
      </w:r>
      <w:r w:rsidR="007325D3" w:rsidRPr="000D2CA3">
        <w:t>s</w:t>
      </w:r>
      <w:r w:rsidR="00306CCF" w:rsidRPr="000D2CA3">
        <w:t xml:space="preserve"> some support for that view</w:t>
      </w:r>
      <w:r w:rsidR="007325D3" w:rsidRPr="000D2CA3">
        <w:t>,</w:t>
      </w:r>
      <w:r w:rsidR="00306CCF" w:rsidRPr="000D2CA3">
        <w:t xml:space="preserve"> with relatively high returns (e.g.</w:t>
      </w:r>
      <w:r w:rsidR="007325D3" w:rsidRPr="000D2CA3">
        <w:t>,</w:t>
      </w:r>
      <w:r w:rsidR="00306CCF" w:rsidRPr="000D2CA3">
        <w:t xml:space="preserve"> the historical return on assets </w:t>
      </w:r>
      <w:r w:rsidR="00661696" w:rsidRPr="000D2CA3">
        <w:t xml:space="preserve">[ROA] </w:t>
      </w:r>
      <w:r w:rsidR="00306CCF" w:rsidRPr="000D2CA3">
        <w:t xml:space="preserve">and return on equity </w:t>
      </w:r>
      <w:r w:rsidR="00661696" w:rsidRPr="000D2CA3">
        <w:t xml:space="preserve">[ROE] </w:t>
      </w:r>
      <w:r w:rsidR="00306CCF" w:rsidRPr="000D2CA3">
        <w:t>figures for UPS).</w:t>
      </w:r>
    </w:p>
    <w:p w14:paraId="78E3CECB" w14:textId="514D27D8" w:rsidR="00A35A1A" w:rsidRPr="009032CB" w:rsidRDefault="00A35A1A" w:rsidP="009032CB">
      <w:pPr>
        <w:pStyle w:val="CaseNumberList"/>
        <w:numPr>
          <w:ilvl w:val="0"/>
          <w:numId w:val="37"/>
        </w:numPr>
        <w:ind w:left="720"/>
        <w:rPr>
          <w:rStyle w:val="CaseItalic"/>
        </w:rPr>
      </w:pPr>
      <w:r w:rsidRPr="009032CB">
        <w:rPr>
          <w:rStyle w:val="CaseItalic"/>
        </w:rPr>
        <w:t xml:space="preserve">If you had to vote for one of these two firms to enter the pantheon of excellent companies, which one would you </w:t>
      </w:r>
      <w:proofErr w:type="gramStart"/>
      <w:r w:rsidRPr="009032CB">
        <w:rPr>
          <w:rStyle w:val="CaseItalic"/>
        </w:rPr>
        <w:t>choose?</w:t>
      </w:r>
      <w:proofErr w:type="gramEnd"/>
    </w:p>
    <w:p w14:paraId="37352F4E" w14:textId="54CEEA19" w:rsidR="00A35A1A" w:rsidRPr="000D2CA3" w:rsidRDefault="00A35A1A" w:rsidP="009032CB">
      <w:pPr>
        <w:pStyle w:val="CaseParagraph"/>
        <w:spacing w:after="220"/>
      </w:pPr>
      <w:r w:rsidRPr="000D2CA3">
        <w:t>Take a vote of the class</w:t>
      </w:r>
      <w:r w:rsidR="00795D18" w:rsidRPr="000D2CA3">
        <w:t xml:space="preserve"> and tally the votes on the board. Follow up with a detailed review of the rationale by a sampling of students </w:t>
      </w:r>
      <w:r w:rsidR="007325D3" w:rsidRPr="000D2CA3">
        <w:t>who</w:t>
      </w:r>
      <w:r w:rsidR="00795D18" w:rsidRPr="000D2CA3">
        <w:t xml:space="preserve"> support each side. This discussion allows the instructor to compare and contrast operational performance metrics with those of financial performance metrics, and to take a deep dive into various forms and varieties of financial metrics.</w:t>
      </w:r>
      <w:r w:rsidR="00744E67" w:rsidRPr="000D2CA3">
        <w:t xml:space="preserve"> </w:t>
      </w:r>
      <w:r w:rsidR="00744E67" w:rsidRPr="008E07D4">
        <w:rPr>
          <w:rStyle w:val="CaseCallout"/>
        </w:rPr>
        <w:t>Exhibit</w:t>
      </w:r>
      <w:r w:rsidR="000A6FA3" w:rsidRPr="008E07D4">
        <w:rPr>
          <w:rStyle w:val="CaseCallout"/>
        </w:rPr>
        <w:t>s</w:t>
      </w:r>
      <w:r w:rsidR="00744E67" w:rsidRPr="008E07D4">
        <w:rPr>
          <w:rStyle w:val="CaseCallout"/>
        </w:rPr>
        <w:t xml:space="preserve"> TN1</w:t>
      </w:r>
      <w:r w:rsidR="00744E67" w:rsidRPr="000D2CA3">
        <w:t>,</w:t>
      </w:r>
      <w:r w:rsidR="00744E67" w:rsidRPr="000D2CA3">
        <w:rPr>
          <w:b/>
        </w:rPr>
        <w:t xml:space="preserve"> </w:t>
      </w:r>
      <w:r w:rsidR="00744E67" w:rsidRPr="008E07D4">
        <w:rPr>
          <w:rStyle w:val="CaseCallout"/>
        </w:rPr>
        <w:t>TN2</w:t>
      </w:r>
      <w:r w:rsidR="00744E67" w:rsidRPr="000D2CA3">
        <w:t xml:space="preserve">, and </w:t>
      </w:r>
      <w:r w:rsidR="00744E67" w:rsidRPr="008E07D4">
        <w:rPr>
          <w:rStyle w:val="CaseCallout"/>
        </w:rPr>
        <w:t>TN3</w:t>
      </w:r>
      <w:r w:rsidR="00744E67" w:rsidRPr="000D2CA3">
        <w:t xml:space="preserve"> provide a summary of some of these measures. Some observations are likely to include:</w:t>
      </w:r>
    </w:p>
    <w:p w14:paraId="189949E3" w14:textId="474B57F5" w:rsidR="00744E67" w:rsidRPr="000D2CA3" w:rsidRDefault="00744E67" w:rsidP="009032CB">
      <w:pPr>
        <w:pStyle w:val="CaseBullets2"/>
      </w:pPr>
      <w:r w:rsidRPr="000D2CA3">
        <w:t>UPS is larger across most dimensions</w:t>
      </w:r>
      <w:r w:rsidR="007325D3" w:rsidRPr="000D2CA3">
        <w:t>.</w:t>
      </w:r>
    </w:p>
    <w:p w14:paraId="434246D2" w14:textId="4B60DAA7" w:rsidR="00A21C67" w:rsidRPr="000D2CA3" w:rsidRDefault="00A21C67" w:rsidP="009032CB">
      <w:pPr>
        <w:pStyle w:val="CaseBullets2"/>
      </w:pPr>
      <w:r w:rsidRPr="000D2CA3">
        <w:t xml:space="preserve">UPS has experienced higher margins, asset turnover, and returns. The 2015 </w:t>
      </w:r>
      <w:r w:rsidR="004F43C7" w:rsidRPr="000D2CA3">
        <w:t>ROE</w:t>
      </w:r>
      <w:r w:rsidRPr="000D2CA3">
        <w:t xml:space="preserve"> figure is astronomical at 194%.</w:t>
      </w:r>
    </w:p>
    <w:p w14:paraId="251FE423" w14:textId="5FA74827" w:rsidR="00A21C67" w:rsidRPr="000D2CA3" w:rsidRDefault="00A21C67" w:rsidP="009032CB">
      <w:pPr>
        <w:pStyle w:val="CaseBullets2"/>
      </w:pPr>
      <w:r w:rsidRPr="000D2CA3">
        <w:t>UPS has generated larger economic profit</w:t>
      </w:r>
      <w:r w:rsidR="00020B6F" w:rsidRPr="000D2CA3">
        <w:t xml:space="preserve"> over recent years.</w:t>
      </w:r>
    </w:p>
    <w:p w14:paraId="2C8FF1B3" w14:textId="4BB454C4" w:rsidR="00744E67" w:rsidRPr="000D2CA3" w:rsidRDefault="00744E67" w:rsidP="009032CB">
      <w:pPr>
        <w:pStyle w:val="CaseBullets2"/>
      </w:pPr>
      <w:r w:rsidRPr="000D2CA3">
        <w:t xml:space="preserve">FedEx seems to be achieving higher recent growth, both domestically and internationally. </w:t>
      </w:r>
    </w:p>
    <w:p w14:paraId="2F87E9AB" w14:textId="0C1C155F" w:rsidR="00020B6F" w:rsidRPr="000D2CA3" w:rsidRDefault="00020B6F" w:rsidP="009032CB">
      <w:pPr>
        <w:pStyle w:val="CaseBullets2"/>
      </w:pPr>
      <w:r w:rsidRPr="000D2CA3">
        <w:t>FedEx has generated larger stock returns over recent years.</w:t>
      </w:r>
    </w:p>
    <w:p w14:paraId="791D448F" w14:textId="5E9DF525" w:rsidR="001515BC" w:rsidRPr="000D2CA3" w:rsidRDefault="000D2CA3" w:rsidP="009032CB">
      <w:pPr>
        <w:pStyle w:val="CaseParaNoIdent"/>
        <w:spacing w:after="220"/>
      </w:pPr>
      <w:r w:rsidRPr="000D2CA3">
        <w:t>A number of follow-</w:t>
      </w:r>
      <w:r w:rsidR="001515BC" w:rsidRPr="000D2CA3">
        <w:t>up questions emerge from this conversation.</w:t>
      </w:r>
    </w:p>
    <w:p w14:paraId="1E9211B2" w14:textId="7DC86019" w:rsidR="00D905F6" w:rsidRPr="000D2CA3" w:rsidRDefault="001515BC" w:rsidP="009032CB">
      <w:pPr>
        <w:pStyle w:val="CaseNumberList"/>
        <w:numPr>
          <w:ilvl w:val="0"/>
          <w:numId w:val="38"/>
        </w:numPr>
      </w:pPr>
      <w:proofErr w:type="gramStart"/>
      <w:r w:rsidRPr="000D2CA3">
        <w:t>Are the operational metrics related</w:t>
      </w:r>
      <w:proofErr w:type="gramEnd"/>
      <w:r w:rsidRPr="000D2CA3">
        <w:t xml:space="preserve"> to the financial metrics? </w:t>
      </w:r>
      <w:proofErr w:type="gramStart"/>
      <w:r w:rsidRPr="000D2CA3">
        <w:t>For example, how is the superior</w:t>
      </w:r>
      <w:r w:rsidR="007325D3" w:rsidRPr="000D2CA3">
        <w:t>-</w:t>
      </w:r>
      <w:r w:rsidRPr="000D2CA3">
        <w:t xml:space="preserve">ranked UPS brand </w:t>
      </w:r>
      <w:r w:rsidR="00813E16" w:rsidRPr="000D2CA3">
        <w:t xml:space="preserve">score </w:t>
      </w:r>
      <w:r w:rsidRPr="000D2CA3">
        <w:t>related to the financial metrics, or how is the superior</w:t>
      </w:r>
      <w:r w:rsidR="007325D3" w:rsidRPr="000D2CA3">
        <w:t>-</w:t>
      </w:r>
      <w:r w:rsidRPr="000D2CA3">
        <w:t xml:space="preserve">ranked FedEx employee satisfaction </w:t>
      </w:r>
      <w:r w:rsidR="00813E16" w:rsidRPr="000D2CA3">
        <w:t xml:space="preserve">score </w:t>
      </w:r>
      <w:r w:rsidRPr="000D2CA3">
        <w:t>related to the financial metrics?</w:t>
      </w:r>
      <w:proofErr w:type="gramEnd"/>
      <w:r w:rsidRPr="000D2CA3">
        <w:t xml:space="preserve"> </w:t>
      </w:r>
    </w:p>
    <w:p w14:paraId="5419E594" w14:textId="7C48C9A4" w:rsidR="009369DA" w:rsidRPr="000D2CA3" w:rsidRDefault="009369DA" w:rsidP="009032CB">
      <w:pPr>
        <w:pStyle w:val="CaseNumberList"/>
        <w:numPr>
          <w:ilvl w:val="0"/>
          <w:numId w:val="38"/>
        </w:numPr>
      </w:pPr>
      <w:r w:rsidRPr="000D2CA3">
        <w:t xml:space="preserve">How is </w:t>
      </w:r>
      <w:r w:rsidR="007325D3" w:rsidRPr="000D2CA3">
        <w:t xml:space="preserve">it </w:t>
      </w:r>
      <w:r w:rsidRPr="000D2CA3">
        <w:t xml:space="preserve">that UPS has managed to achieve such an impressive </w:t>
      </w:r>
      <w:r w:rsidR="00C23AB2" w:rsidRPr="000D2CA3">
        <w:t>ROE</w:t>
      </w:r>
      <w:r w:rsidRPr="000D2CA3">
        <w:t xml:space="preserve"> figure? A powerful way to explore this question is to decompose the </w:t>
      </w:r>
      <w:r w:rsidR="00661696" w:rsidRPr="000D2CA3">
        <w:t>ROE</w:t>
      </w:r>
      <w:r w:rsidRPr="000D2CA3">
        <w:t xml:space="preserve"> into three components: Margin (Net profit / Revenue), Turnover (Revenue / Total </w:t>
      </w:r>
      <w:r w:rsidR="00670045" w:rsidRPr="000D2CA3">
        <w:t>assets</w:t>
      </w:r>
      <w:r w:rsidRPr="000D2CA3">
        <w:t>), and Leverage (Total assets / Book equity). By comparing each of these elements across the two firms</w:t>
      </w:r>
      <w:r w:rsidR="00D85CE5" w:rsidRPr="000D2CA3">
        <w:t>,</w:t>
      </w:r>
      <w:r w:rsidRPr="000D2CA3">
        <w:t xml:space="preserve"> one notices that UPS has been superior across all three dimensions</w:t>
      </w:r>
      <w:r w:rsidR="00D85CE5" w:rsidRPr="000D2CA3">
        <w:t>,</w:t>
      </w:r>
      <w:r w:rsidRPr="000D2CA3">
        <w:t xml:space="preserve"> but it is the </w:t>
      </w:r>
      <w:proofErr w:type="gramStart"/>
      <w:r w:rsidRPr="000D2CA3">
        <w:t>leverage</w:t>
      </w:r>
      <w:proofErr w:type="gramEnd"/>
      <w:r w:rsidRPr="000D2CA3">
        <w:t xml:space="preserve"> ratio that is particularly higher for UPS. One can disc</w:t>
      </w:r>
      <w:r w:rsidR="00813E16" w:rsidRPr="000D2CA3">
        <w:t>uss</w:t>
      </w:r>
      <w:r w:rsidRPr="000D2CA3">
        <w:t xml:space="preserve"> with students what it takes to have a high </w:t>
      </w:r>
      <w:proofErr w:type="gramStart"/>
      <w:r w:rsidRPr="000D2CA3">
        <w:t>leverage</w:t>
      </w:r>
      <w:proofErr w:type="gramEnd"/>
      <w:r w:rsidRPr="000D2CA3">
        <w:t xml:space="preserve"> ratio. </w:t>
      </w:r>
      <w:proofErr w:type="gramStart"/>
      <w:r w:rsidRPr="000D2CA3">
        <w:t>There are two things that may emerge: (1) leverage creates financial risk by magnifying operating returns and as such requires a higher risk-adjusted benchmark</w:t>
      </w:r>
      <w:r w:rsidR="00D85CE5" w:rsidRPr="000D2CA3">
        <w:t>,</w:t>
      </w:r>
      <w:r w:rsidRPr="000D2CA3">
        <w:t xml:space="preserve"> and (2) there is a difference between book values and market values.</w:t>
      </w:r>
      <w:proofErr w:type="gramEnd"/>
      <w:r w:rsidRPr="000D2CA3">
        <w:t xml:space="preserve"> If one substitutes in the market value of equity</w:t>
      </w:r>
      <w:r w:rsidR="00661696" w:rsidRPr="000D2CA3">
        <w:t>,</w:t>
      </w:r>
      <w:r w:rsidRPr="000D2CA3">
        <w:t xml:space="preserve"> the difference is much less stark. With its recent initial public equity offering, one can discuss why </w:t>
      </w:r>
      <w:r w:rsidR="00661696" w:rsidRPr="000D2CA3">
        <w:t xml:space="preserve">UPS’s </w:t>
      </w:r>
      <w:r w:rsidRPr="000D2CA3">
        <w:t>book equity value might be abnormally low.</w:t>
      </w:r>
    </w:p>
    <w:p w14:paraId="7140AD21" w14:textId="46377DBB" w:rsidR="009369DA" w:rsidRPr="000D2CA3" w:rsidRDefault="008F3CEE" w:rsidP="009032CB">
      <w:pPr>
        <w:pStyle w:val="CaseNumberList"/>
        <w:numPr>
          <w:ilvl w:val="0"/>
          <w:numId w:val="38"/>
        </w:numPr>
      </w:pPr>
      <w:r w:rsidRPr="000D2CA3">
        <w:t xml:space="preserve">What is economic profit and what does it measure? For students </w:t>
      </w:r>
      <w:r w:rsidR="00661696" w:rsidRPr="000D2CA3">
        <w:t xml:space="preserve">who </w:t>
      </w:r>
      <w:r w:rsidRPr="000D2CA3">
        <w:t>have not been exposed to this financial performance measure (or any other), the instructor can use this opportunity to explore the intuition of the metric.</w:t>
      </w:r>
    </w:p>
    <w:p w14:paraId="3AE14224" w14:textId="25EC1471" w:rsidR="001515BC" w:rsidRPr="000D2CA3" w:rsidRDefault="008F3CEE" w:rsidP="009032CB">
      <w:pPr>
        <w:pStyle w:val="CaseNumberList"/>
        <w:numPr>
          <w:ilvl w:val="0"/>
          <w:numId w:val="38"/>
        </w:numPr>
      </w:pPr>
      <w:r w:rsidRPr="000D2CA3">
        <w:t>What does stock performance tell us?</w:t>
      </w:r>
      <w:r w:rsidR="00813E16" w:rsidRPr="000D2CA3">
        <w:t xml:space="preserve"> </w:t>
      </w:r>
      <w:r w:rsidR="001515BC" w:rsidRPr="000D2CA3">
        <w:t xml:space="preserve">How can </w:t>
      </w:r>
      <w:r w:rsidR="00661696" w:rsidRPr="000D2CA3">
        <w:t xml:space="preserve">FedEx’s </w:t>
      </w:r>
      <w:r w:rsidR="001515BC" w:rsidRPr="000D2CA3">
        <w:t>stock</w:t>
      </w:r>
      <w:r w:rsidR="00C23AB2" w:rsidRPr="000D2CA3">
        <w:t>-</w:t>
      </w:r>
      <w:r w:rsidR="001515BC" w:rsidRPr="000D2CA3">
        <w:t xml:space="preserve">price performance be </w:t>
      </w:r>
      <w:r w:rsidR="00813E16" w:rsidRPr="000D2CA3">
        <w:t>superior</w:t>
      </w:r>
      <w:r w:rsidR="001515BC" w:rsidRPr="000D2CA3">
        <w:t xml:space="preserve"> when </w:t>
      </w:r>
      <w:r w:rsidR="00661696" w:rsidRPr="000D2CA3">
        <w:t>UPS’s</w:t>
      </w:r>
      <w:r w:rsidR="001515BC" w:rsidRPr="000D2CA3">
        <w:t xml:space="preserve"> financial ratios </w:t>
      </w:r>
      <w:r w:rsidR="00813E16" w:rsidRPr="000D2CA3">
        <w:t>are</w:t>
      </w:r>
      <w:r w:rsidR="001515BC" w:rsidRPr="000D2CA3">
        <w:t xml:space="preserve"> so much better? This question affords a discussion about the difference between backward-looking financial ratios and forward-looking stock-price performance. </w:t>
      </w:r>
    </w:p>
    <w:p w14:paraId="33CAF26B" w14:textId="48E7C00B" w:rsidR="001515BC" w:rsidRPr="000D2CA3" w:rsidRDefault="009369DA" w:rsidP="009032CB">
      <w:pPr>
        <w:pStyle w:val="CaseNumberList"/>
        <w:numPr>
          <w:ilvl w:val="0"/>
          <w:numId w:val="38"/>
        </w:numPr>
      </w:pPr>
      <w:r w:rsidRPr="000D2CA3">
        <w:t>How do investors justify a higher PE ratio for FedEx?</w:t>
      </w:r>
      <w:r w:rsidR="008F3CEE" w:rsidRPr="000D2CA3">
        <w:t xml:space="preserve"> Students are likely to suggest that </w:t>
      </w:r>
      <w:r w:rsidR="00661696" w:rsidRPr="000D2CA3">
        <w:t xml:space="preserve">FedEx’s </w:t>
      </w:r>
      <w:r w:rsidR="008F3CEE" w:rsidRPr="000D2CA3">
        <w:t xml:space="preserve">more </w:t>
      </w:r>
      <w:r w:rsidR="000D2CA3" w:rsidRPr="000D2CA3">
        <w:t>substantive</w:t>
      </w:r>
      <w:r w:rsidR="008F3CEE" w:rsidRPr="000D2CA3">
        <w:t xml:space="preserve"> growth prospects are what justifies the higher PE ratio.</w:t>
      </w:r>
    </w:p>
    <w:p w14:paraId="4542CA60" w14:textId="4ED4B0E0" w:rsidR="00D905F6" w:rsidRPr="000D2CA3" w:rsidRDefault="00D905F6" w:rsidP="009032CB">
      <w:pPr>
        <w:pStyle w:val="CaseNumberList"/>
        <w:numPr>
          <w:ilvl w:val="0"/>
          <w:numId w:val="38"/>
        </w:numPr>
      </w:pPr>
      <w:r w:rsidRPr="000D2CA3">
        <w:t>What are the relative strengths and weaknesses of the various</w:t>
      </w:r>
      <w:r w:rsidR="00757815" w:rsidRPr="000D2CA3">
        <w:t xml:space="preserve"> financial measures</w:t>
      </w:r>
      <w:r w:rsidR="00661696" w:rsidRPr="000D2CA3">
        <w:t>?</w:t>
      </w:r>
      <w:r w:rsidR="00757815" w:rsidRPr="000D2CA3">
        <w:t xml:space="preserve"> </w:t>
      </w:r>
      <w:r w:rsidR="00757815" w:rsidRPr="008E07D4">
        <w:rPr>
          <w:rStyle w:val="CaseCallout"/>
        </w:rPr>
        <w:t>Table TN1</w:t>
      </w:r>
      <w:r w:rsidR="00757815" w:rsidRPr="000D2CA3">
        <w:t xml:space="preserve"> provides a summary of such a discussion.</w:t>
      </w:r>
    </w:p>
    <w:p w14:paraId="2F3C349E" w14:textId="1300D337" w:rsidR="00813E16" w:rsidRPr="000D2CA3" w:rsidRDefault="00813E16" w:rsidP="009032CB">
      <w:pPr>
        <w:pStyle w:val="CaseNumberList"/>
        <w:numPr>
          <w:ilvl w:val="0"/>
          <w:numId w:val="38"/>
        </w:numPr>
      </w:pPr>
      <w:r w:rsidRPr="000D2CA3">
        <w:t>What do we learn from the perspective of the research analysts?</w:t>
      </w:r>
    </w:p>
    <w:p w14:paraId="3BA53ECC" w14:textId="7ED23B50" w:rsidR="00D905F6" w:rsidRPr="000D2CA3" w:rsidRDefault="00D905F6" w:rsidP="009032CB">
      <w:pPr>
        <w:pStyle w:val="CaseTable"/>
        <w:spacing w:before="220" w:after="120"/>
      </w:pPr>
      <w:r w:rsidRPr="000D2CA3">
        <w:t xml:space="preserve">Table TN1. The strengths and weaknesses of various financial measures. </w:t>
      </w:r>
    </w:p>
    <w:tbl>
      <w:tblPr>
        <w:tblW w:w="9504" w:type="dxa"/>
        <w:jc w:val="center"/>
        <w:tblLayout w:type="fixed"/>
        <w:tblCellMar>
          <w:left w:w="120" w:type="dxa"/>
          <w:right w:w="120" w:type="dxa"/>
        </w:tblCellMar>
        <w:tblLook w:val="04A0" w:firstRow="1" w:lastRow="0" w:firstColumn="1" w:lastColumn="0" w:noHBand="0" w:noVBand="1"/>
      </w:tblPr>
      <w:tblGrid>
        <w:gridCol w:w="2691"/>
        <w:gridCol w:w="3240"/>
        <w:gridCol w:w="3573"/>
      </w:tblGrid>
      <w:tr w:rsidR="00D905F6" w:rsidRPr="000D2CA3" w14:paraId="340AE2E4" w14:textId="77777777" w:rsidTr="00103F33">
        <w:trPr>
          <w:cantSplit/>
          <w:trHeight w:val="20"/>
          <w:jc w:val="center"/>
        </w:trPr>
        <w:tc>
          <w:tcPr>
            <w:tcW w:w="2691" w:type="dxa"/>
            <w:tcBorders>
              <w:top w:val="single" w:sz="7" w:space="0" w:color="000000"/>
              <w:left w:val="single" w:sz="7" w:space="0" w:color="000000"/>
              <w:bottom w:val="single" w:sz="7" w:space="0" w:color="000000"/>
              <w:right w:val="single" w:sz="7" w:space="0" w:color="000000"/>
            </w:tcBorders>
          </w:tcPr>
          <w:p w14:paraId="012233D3" w14:textId="77777777" w:rsidR="00D905F6" w:rsidRPr="000D2CA3" w:rsidRDefault="00D905F6" w:rsidP="009032CB">
            <w:pPr>
              <w:spacing w:after="0"/>
              <w:jc w:val="center"/>
              <w:rPr>
                <w:rFonts w:ascii="Garamond" w:hAnsi="Garamond"/>
                <w:sz w:val="20"/>
                <w:szCs w:val="20"/>
              </w:rPr>
            </w:pPr>
          </w:p>
        </w:tc>
        <w:tc>
          <w:tcPr>
            <w:tcW w:w="3240" w:type="dxa"/>
            <w:tcBorders>
              <w:top w:val="single" w:sz="7" w:space="0" w:color="000000"/>
              <w:left w:val="single" w:sz="7" w:space="0" w:color="000000"/>
              <w:bottom w:val="single" w:sz="7" w:space="0" w:color="000000"/>
              <w:right w:val="single" w:sz="7" w:space="0" w:color="000000"/>
            </w:tcBorders>
          </w:tcPr>
          <w:p w14:paraId="40B8AE90" w14:textId="77777777" w:rsidR="00D905F6" w:rsidRPr="000D2CA3" w:rsidRDefault="00D905F6" w:rsidP="009032CB">
            <w:pPr>
              <w:tabs>
                <w:tab w:val="center" w:pos="1464"/>
              </w:tabs>
              <w:spacing w:after="0"/>
              <w:jc w:val="center"/>
              <w:rPr>
                <w:rFonts w:ascii="Garamond" w:hAnsi="Garamond"/>
                <w:sz w:val="20"/>
                <w:szCs w:val="20"/>
              </w:rPr>
            </w:pPr>
            <w:r w:rsidRPr="000D2CA3">
              <w:rPr>
                <w:rFonts w:ascii="Garamond" w:hAnsi="Garamond"/>
                <w:b/>
                <w:bCs/>
                <w:sz w:val="20"/>
                <w:szCs w:val="20"/>
              </w:rPr>
              <w:t>Strengths</w:t>
            </w:r>
          </w:p>
        </w:tc>
        <w:tc>
          <w:tcPr>
            <w:tcW w:w="3573" w:type="dxa"/>
            <w:tcBorders>
              <w:top w:val="single" w:sz="7" w:space="0" w:color="000000"/>
              <w:left w:val="single" w:sz="7" w:space="0" w:color="000000"/>
              <w:bottom w:val="single" w:sz="7" w:space="0" w:color="000000"/>
              <w:right w:val="single" w:sz="7" w:space="0" w:color="000000"/>
            </w:tcBorders>
          </w:tcPr>
          <w:p w14:paraId="0D669911" w14:textId="77777777" w:rsidR="00D905F6" w:rsidRPr="000D2CA3" w:rsidRDefault="00D905F6" w:rsidP="009032CB">
            <w:pPr>
              <w:tabs>
                <w:tab w:val="center" w:pos="1464"/>
              </w:tabs>
              <w:spacing w:after="0"/>
              <w:jc w:val="center"/>
              <w:rPr>
                <w:rFonts w:ascii="Garamond" w:hAnsi="Garamond"/>
                <w:sz w:val="20"/>
                <w:szCs w:val="20"/>
              </w:rPr>
            </w:pPr>
            <w:r w:rsidRPr="000D2CA3">
              <w:rPr>
                <w:rFonts w:ascii="Garamond" w:hAnsi="Garamond"/>
                <w:b/>
                <w:bCs/>
                <w:sz w:val="20"/>
                <w:szCs w:val="20"/>
              </w:rPr>
              <w:t>Weaknesses</w:t>
            </w:r>
          </w:p>
        </w:tc>
      </w:tr>
      <w:tr w:rsidR="00D905F6" w:rsidRPr="000D2CA3" w14:paraId="2738C613" w14:textId="77777777" w:rsidTr="00103F33">
        <w:trPr>
          <w:cantSplit/>
          <w:trHeight w:val="20"/>
          <w:jc w:val="center"/>
        </w:trPr>
        <w:tc>
          <w:tcPr>
            <w:tcW w:w="2691" w:type="dxa"/>
            <w:tcBorders>
              <w:top w:val="single" w:sz="7" w:space="0" w:color="000000"/>
              <w:left w:val="single" w:sz="7" w:space="0" w:color="000000"/>
              <w:bottom w:val="single" w:sz="7" w:space="0" w:color="000000"/>
              <w:right w:val="single" w:sz="7" w:space="0" w:color="000000"/>
            </w:tcBorders>
          </w:tcPr>
          <w:p w14:paraId="75306638" w14:textId="77777777" w:rsidR="00D905F6" w:rsidRPr="000D2CA3" w:rsidRDefault="00D905F6" w:rsidP="009032CB">
            <w:pPr>
              <w:spacing w:after="0" w:line="234" w:lineRule="auto"/>
              <w:rPr>
                <w:rFonts w:ascii="Garamond" w:hAnsi="Garamond"/>
                <w:sz w:val="20"/>
                <w:szCs w:val="20"/>
              </w:rPr>
            </w:pPr>
            <w:r w:rsidRPr="000D2CA3">
              <w:rPr>
                <w:rFonts w:ascii="Garamond" w:hAnsi="Garamond"/>
                <w:sz w:val="20"/>
                <w:szCs w:val="20"/>
              </w:rPr>
              <w:t>1. Direct inspection of the financial statements</w:t>
            </w:r>
          </w:p>
        </w:tc>
        <w:tc>
          <w:tcPr>
            <w:tcW w:w="3240" w:type="dxa"/>
            <w:tcBorders>
              <w:top w:val="single" w:sz="7" w:space="0" w:color="000000"/>
              <w:left w:val="single" w:sz="7" w:space="0" w:color="000000"/>
              <w:bottom w:val="single" w:sz="7" w:space="0" w:color="000000"/>
              <w:right w:val="single" w:sz="7" w:space="0" w:color="000000"/>
            </w:tcBorders>
          </w:tcPr>
          <w:p w14:paraId="747AF44B" w14:textId="77777777" w:rsidR="00D905F6" w:rsidRPr="000D2CA3" w:rsidRDefault="00D905F6" w:rsidP="00103F33">
            <w:pPr>
              <w:numPr>
                <w:ilvl w:val="0"/>
                <w:numId w:val="6"/>
              </w:numPr>
              <w:tabs>
                <w:tab w:val="clear" w:pos="360"/>
              </w:tabs>
              <w:spacing w:after="0" w:line="234" w:lineRule="auto"/>
              <w:rPr>
                <w:rFonts w:ascii="Garamond" w:hAnsi="Garamond"/>
                <w:sz w:val="20"/>
                <w:szCs w:val="20"/>
              </w:rPr>
            </w:pPr>
            <w:r w:rsidRPr="000D2CA3">
              <w:rPr>
                <w:rFonts w:ascii="Garamond" w:hAnsi="Garamond"/>
                <w:sz w:val="20"/>
                <w:szCs w:val="20"/>
              </w:rPr>
              <w:t>Reveals trends</w:t>
            </w:r>
          </w:p>
          <w:p w14:paraId="2BFADF94" w14:textId="44AF0B8F" w:rsidR="00D905F6" w:rsidRPr="000D2CA3" w:rsidRDefault="00661696" w:rsidP="00103F33">
            <w:pPr>
              <w:numPr>
                <w:ilvl w:val="0"/>
                <w:numId w:val="6"/>
              </w:numPr>
              <w:tabs>
                <w:tab w:val="clear" w:pos="360"/>
              </w:tabs>
              <w:spacing w:after="0" w:line="234" w:lineRule="auto"/>
              <w:rPr>
                <w:rFonts w:ascii="Garamond" w:hAnsi="Garamond"/>
                <w:sz w:val="20"/>
                <w:szCs w:val="20"/>
              </w:rPr>
            </w:pPr>
            <w:r w:rsidRPr="000D2CA3">
              <w:rPr>
                <w:rFonts w:ascii="Garamond" w:hAnsi="Garamond"/>
                <w:sz w:val="20"/>
                <w:szCs w:val="20"/>
              </w:rPr>
              <w:t>Allows for c</w:t>
            </w:r>
            <w:r w:rsidR="00D905F6" w:rsidRPr="000D2CA3">
              <w:rPr>
                <w:rFonts w:ascii="Garamond" w:hAnsi="Garamond"/>
                <w:sz w:val="20"/>
                <w:szCs w:val="20"/>
              </w:rPr>
              <w:t>omparison of absolute sizes</w:t>
            </w:r>
          </w:p>
        </w:tc>
        <w:tc>
          <w:tcPr>
            <w:tcW w:w="3573" w:type="dxa"/>
            <w:tcBorders>
              <w:top w:val="single" w:sz="7" w:space="0" w:color="000000"/>
              <w:left w:val="single" w:sz="7" w:space="0" w:color="000000"/>
              <w:bottom w:val="single" w:sz="7" w:space="0" w:color="000000"/>
              <w:right w:val="single" w:sz="7" w:space="0" w:color="000000"/>
            </w:tcBorders>
          </w:tcPr>
          <w:p w14:paraId="4533DFA4" w14:textId="7777777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Does not permit a ready assessment of efficiency</w:t>
            </w:r>
          </w:p>
          <w:p w14:paraId="7217798E" w14:textId="7777777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Biased by size differences</w:t>
            </w:r>
          </w:p>
          <w:p w14:paraId="099F3AC5" w14:textId="7CB11790"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Book, not market values</w:t>
            </w:r>
          </w:p>
          <w:p w14:paraId="3C9E468C" w14:textId="7777777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Influenced by GAAP choices</w:t>
            </w:r>
          </w:p>
          <w:p w14:paraId="1F053E6E" w14:textId="54F92404" w:rsidR="00D905F6" w:rsidRPr="000D2CA3" w:rsidRDefault="00D905F6" w:rsidP="00103F33">
            <w:pPr>
              <w:numPr>
                <w:ilvl w:val="0"/>
                <w:numId w:val="6"/>
              </w:numPr>
              <w:spacing w:after="60" w:line="235" w:lineRule="auto"/>
              <w:rPr>
                <w:rFonts w:ascii="Garamond" w:hAnsi="Garamond"/>
                <w:sz w:val="20"/>
                <w:szCs w:val="20"/>
              </w:rPr>
            </w:pPr>
            <w:r w:rsidRPr="000D2CA3">
              <w:rPr>
                <w:rFonts w:ascii="Garamond" w:hAnsi="Garamond"/>
                <w:sz w:val="20"/>
                <w:szCs w:val="20"/>
              </w:rPr>
              <w:t>Backward, not forward looking</w:t>
            </w:r>
          </w:p>
        </w:tc>
      </w:tr>
      <w:tr w:rsidR="00D905F6" w:rsidRPr="000D2CA3" w14:paraId="68F4BDE7" w14:textId="77777777" w:rsidTr="00103F33">
        <w:trPr>
          <w:cantSplit/>
          <w:trHeight w:val="20"/>
          <w:jc w:val="center"/>
        </w:trPr>
        <w:tc>
          <w:tcPr>
            <w:tcW w:w="2691" w:type="dxa"/>
            <w:tcBorders>
              <w:top w:val="single" w:sz="7" w:space="0" w:color="000000"/>
              <w:left w:val="single" w:sz="7" w:space="0" w:color="000000"/>
              <w:bottom w:val="single" w:sz="7" w:space="0" w:color="000000"/>
              <w:right w:val="single" w:sz="7" w:space="0" w:color="000000"/>
            </w:tcBorders>
          </w:tcPr>
          <w:p w14:paraId="2EEE858A" w14:textId="77777777" w:rsidR="00D905F6" w:rsidRPr="000D2CA3" w:rsidRDefault="00D905F6" w:rsidP="009032CB">
            <w:pPr>
              <w:spacing w:after="0" w:line="234" w:lineRule="auto"/>
              <w:rPr>
                <w:rFonts w:ascii="Garamond" w:hAnsi="Garamond"/>
                <w:sz w:val="20"/>
                <w:szCs w:val="20"/>
              </w:rPr>
            </w:pPr>
            <w:r w:rsidRPr="000D2CA3">
              <w:rPr>
                <w:rFonts w:ascii="Garamond" w:hAnsi="Garamond"/>
                <w:sz w:val="20"/>
                <w:szCs w:val="20"/>
              </w:rPr>
              <w:t>2. Financial ratios</w:t>
            </w:r>
          </w:p>
        </w:tc>
        <w:tc>
          <w:tcPr>
            <w:tcW w:w="3240" w:type="dxa"/>
            <w:tcBorders>
              <w:top w:val="single" w:sz="7" w:space="0" w:color="000000"/>
              <w:left w:val="single" w:sz="7" w:space="0" w:color="000000"/>
              <w:bottom w:val="single" w:sz="7" w:space="0" w:color="000000"/>
              <w:right w:val="single" w:sz="7" w:space="0" w:color="000000"/>
            </w:tcBorders>
          </w:tcPr>
          <w:p w14:paraId="1C1B430E" w14:textId="4F5944B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Adjusts for size differences (a relative, not absolute, measure)</w:t>
            </w:r>
          </w:p>
          <w:p w14:paraId="5CE832EC" w14:textId="77777777" w:rsidR="00D905F6" w:rsidRPr="000D2CA3" w:rsidRDefault="00D905F6" w:rsidP="00103F33">
            <w:pPr>
              <w:numPr>
                <w:ilvl w:val="0"/>
                <w:numId w:val="6"/>
              </w:numPr>
              <w:spacing w:after="60" w:line="235" w:lineRule="auto"/>
              <w:rPr>
                <w:rFonts w:ascii="Garamond" w:hAnsi="Garamond"/>
                <w:sz w:val="20"/>
                <w:szCs w:val="20"/>
              </w:rPr>
            </w:pPr>
            <w:r w:rsidRPr="000D2CA3">
              <w:rPr>
                <w:rFonts w:ascii="Garamond" w:hAnsi="Garamond"/>
                <w:sz w:val="20"/>
                <w:szCs w:val="20"/>
              </w:rPr>
              <w:t>Provides comparative measures of efficiency and growth</w:t>
            </w:r>
          </w:p>
        </w:tc>
        <w:tc>
          <w:tcPr>
            <w:tcW w:w="3573" w:type="dxa"/>
            <w:tcBorders>
              <w:top w:val="single" w:sz="7" w:space="0" w:color="000000"/>
              <w:left w:val="single" w:sz="7" w:space="0" w:color="000000"/>
              <w:bottom w:val="single" w:sz="7" w:space="0" w:color="000000"/>
              <w:right w:val="single" w:sz="7" w:space="0" w:color="000000"/>
            </w:tcBorders>
          </w:tcPr>
          <w:p w14:paraId="512C9486" w14:textId="7777777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Based on book, not market, values</w:t>
            </w:r>
          </w:p>
          <w:p w14:paraId="364AA6FB" w14:textId="7777777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Influenced by GAAP choices</w:t>
            </w:r>
          </w:p>
        </w:tc>
      </w:tr>
      <w:tr w:rsidR="00D905F6" w:rsidRPr="000D2CA3" w14:paraId="751D7213" w14:textId="77777777" w:rsidTr="00103F33">
        <w:trPr>
          <w:cantSplit/>
          <w:trHeight w:val="20"/>
          <w:jc w:val="center"/>
        </w:trPr>
        <w:tc>
          <w:tcPr>
            <w:tcW w:w="2691" w:type="dxa"/>
            <w:tcBorders>
              <w:top w:val="single" w:sz="7" w:space="0" w:color="000000"/>
              <w:left w:val="single" w:sz="7" w:space="0" w:color="000000"/>
              <w:bottom w:val="single" w:sz="7" w:space="0" w:color="000000"/>
              <w:right w:val="single" w:sz="7" w:space="0" w:color="000000"/>
            </w:tcBorders>
          </w:tcPr>
          <w:p w14:paraId="24D160F9" w14:textId="77777777" w:rsidR="00D905F6" w:rsidRPr="000D2CA3" w:rsidRDefault="00D905F6" w:rsidP="009032CB">
            <w:pPr>
              <w:spacing w:after="0" w:line="234" w:lineRule="auto"/>
              <w:rPr>
                <w:rFonts w:ascii="Garamond" w:hAnsi="Garamond"/>
                <w:sz w:val="20"/>
                <w:szCs w:val="20"/>
              </w:rPr>
            </w:pPr>
            <w:r w:rsidRPr="000D2CA3">
              <w:rPr>
                <w:rFonts w:ascii="Garamond" w:hAnsi="Garamond"/>
                <w:sz w:val="20"/>
                <w:szCs w:val="20"/>
              </w:rPr>
              <w:t>3. Earnings per share (EPS) and price/earnings ratios</w:t>
            </w:r>
          </w:p>
        </w:tc>
        <w:tc>
          <w:tcPr>
            <w:tcW w:w="3240" w:type="dxa"/>
            <w:tcBorders>
              <w:top w:val="single" w:sz="7" w:space="0" w:color="000000"/>
              <w:left w:val="single" w:sz="7" w:space="0" w:color="000000"/>
              <w:bottom w:val="single" w:sz="7" w:space="0" w:color="000000"/>
              <w:right w:val="single" w:sz="7" w:space="0" w:color="000000"/>
            </w:tcBorders>
          </w:tcPr>
          <w:p w14:paraId="097EA68C" w14:textId="708C29CF"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Widely</w:t>
            </w:r>
            <w:r w:rsidR="00661696" w:rsidRPr="000D2CA3">
              <w:rPr>
                <w:rFonts w:ascii="Garamond" w:hAnsi="Garamond"/>
                <w:sz w:val="20"/>
                <w:szCs w:val="20"/>
              </w:rPr>
              <w:t xml:space="preserve"> </w:t>
            </w:r>
            <w:r w:rsidRPr="000D2CA3">
              <w:rPr>
                <w:rFonts w:ascii="Garamond" w:hAnsi="Garamond"/>
                <w:sz w:val="20"/>
                <w:szCs w:val="20"/>
              </w:rPr>
              <w:t>used measures of performance</w:t>
            </w:r>
          </w:p>
          <w:p w14:paraId="5AC7EF72" w14:textId="7777777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Linked to market price of stock</w:t>
            </w:r>
          </w:p>
        </w:tc>
        <w:tc>
          <w:tcPr>
            <w:tcW w:w="3573" w:type="dxa"/>
            <w:tcBorders>
              <w:top w:val="single" w:sz="7" w:space="0" w:color="000000"/>
              <w:left w:val="single" w:sz="7" w:space="0" w:color="000000"/>
              <w:bottom w:val="single" w:sz="7" w:space="0" w:color="000000"/>
              <w:right w:val="single" w:sz="7" w:space="0" w:color="000000"/>
            </w:tcBorders>
          </w:tcPr>
          <w:p w14:paraId="1D000535" w14:textId="7777777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EPS influenced by GAAP choices</w:t>
            </w:r>
          </w:p>
          <w:p w14:paraId="24D47668" w14:textId="7777777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EPS is not a cash flow</w:t>
            </w:r>
          </w:p>
          <w:p w14:paraId="05CF3772" w14:textId="7777777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P/E difficult to interpret</w:t>
            </w:r>
          </w:p>
          <w:p w14:paraId="798EC4B6" w14:textId="77777777" w:rsidR="00D905F6" w:rsidRPr="000D2CA3" w:rsidRDefault="00D905F6" w:rsidP="00103F33">
            <w:pPr>
              <w:numPr>
                <w:ilvl w:val="0"/>
                <w:numId w:val="6"/>
              </w:numPr>
              <w:spacing w:after="60" w:line="235" w:lineRule="auto"/>
              <w:rPr>
                <w:rFonts w:ascii="Garamond" w:hAnsi="Garamond"/>
                <w:sz w:val="20"/>
                <w:szCs w:val="20"/>
              </w:rPr>
            </w:pPr>
            <w:r w:rsidRPr="000D2CA3">
              <w:rPr>
                <w:rFonts w:ascii="Garamond" w:hAnsi="Garamond"/>
                <w:sz w:val="20"/>
                <w:szCs w:val="20"/>
              </w:rPr>
              <w:t>Sensitive to choice of observation period</w:t>
            </w:r>
          </w:p>
        </w:tc>
      </w:tr>
      <w:tr w:rsidR="00D905F6" w:rsidRPr="000D2CA3" w14:paraId="03AEC012" w14:textId="77777777" w:rsidTr="00103F33">
        <w:trPr>
          <w:cantSplit/>
          <w:trHeight w:val="20"/>
          <w:jc w:val="center"/>
        </w:trPr>
        <w:tc>
          <w:tcPr>
            <w:tcW w:w="2691" w:type="dxa"/>
            <w:tcBorders>
              <w:top w:val="single" w:sz="7" w:space="0" w:color="000000"/>
              <w:left w:val="single" w:sz="7" w:space="0" w:color="000000"/>
              <w:bottom w:val="single" w:sz="7" w:space="0" w:color="000000"/>
              <w:right w:val="single" w:sz="7" w:space="0" w:color="000000"/>
            </w:tcBorders>
          </w:tcPr>
          <w:p w14:paraId="0837813C" w14:textId="77777777" w:rsidR="00D905F6" w:rsidRPr="000D2CA3" w:rsidRDefault="00D905F6" w:rsidP="009032CB">
            <w:pPr>
              <w:spacing w:after="0" w:line="234" w:lineRule="auto"/>
              <w:rPr>
                <w:rFonts w:ascii="Garamond" w:hAnsi="Garamond"/>
                <w:sz w:val="20"/>
                <w:szCs w:val="20"/>
              </w:rPr>
            </w:pPr>
            <w:r w:rsidRPr="000D2CA3">
              <w:rPr>
                <w:rFonts w:ascii="Garamond" w:hAnsi="Garamond"/>
                <w:sz w:val="20"/>
                <w:szCs w:val="20"/>
              </w:rPr>
              <w:t>4. Total returns to investors</w:t>
            </w:r>
          </w:p>
        </w:tc>
        <w:tc>
          <w:tcPr>
            <w:tcW w:w="3240" w:type="dxa"/>
            <w:tcBorders>
              <w:top w:val="single" w:sz="7" w:space="0" w:color="000000"/>
              <w:left w:val="single" w:sz="7" w:space="0" w:color="000000"/>
              <w:bottom w:val="single" w:sz="7" w:space="0" w:color="000000"/>
              <w:right w:val="single" w:sz="7" w:space="0" w:color="000000"/>
            </w:tcBorders>
          </w:tcPr>
          <w:p w14:paraId="55525925" w14:textId="6BC52E2A"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Cash flow</w:t>
            </w:r>
            <w:r w:rsidR="008737F3" w:rsidRPr="000D2CA3">
              <w:rPr>
                <w:rFonts w:ascii="Garamond" w:hAnsi="Garamond"/>
                <w:sz w:val="20"/>
                <w:szCs w:val="20"/>
              </w:rPr>
              <w:t xml:space="preserve"> </w:t>
            </w:r>
            <w:r w:rsidRPr="000D2CA3">
              <w:rPr>
                <w:rFonts w:ascii="Garamond" w:hAnsi="Garamond"/>
                <w:sz w:val="20"/>
                <w:szCs w:val="20"/>
              </w:rPr>
              <w:t>based</w:t>
            </w:r>
          </w:p>
          <w:p w14:paraId="5332D2C8" w14:textId="0688F39A"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Market value</w:t>
            </w:r>
            <w:r w:rsidR="008737F3" w:rsidRPr="000D2CA3">
              <w:rPr>
                <w:rFonts w:ascii="Garamond" w:hAnsi="Garamond"/>
                <w:sz w:val="20"/>
                <w:szCs w:val="20"/>
              </w:rPr>
              <w:t xml:space="preserve"> </w:t>
            </w:r>
            <w:r w:rsidRPr="000D2CA3">
              <w:rPr>
                <w:rFonts w:ascii="Garamond" w:hAnsi="Garamond"/>
                <w:sz w:val="20"/>
                <w:szCs w:val="20"/>
              </w:rPr>
              <w:t>based</w:t>
            </w:r>
          </w:p>
          <w:p w14:paraId="5FCD2389" w14:textId="65EB3D52" w:rsidR="00D905F6" w:rsidRPr="000D2CA3" w:rsidRDefault="00D905F6" w:rsidP="00103F33">
            <w:pPr>
              <w:numPr>
                <w:ilvl w:val="0"/>
                <w:numId w:val="6"/>
              </w:numPr>
              <w:spacing w:after="60" w:line="235" w:lineRule="auto"/>
              <w:rPr>
                <w:rFonts w:ascii="Garamond" w:hAnsi="Garamond"/>
                <w:sz w:val="20"/>
                <w:szCs w:val="20"/>
              </w:rPr>
            </w:pPr>
            <w:r w:rsidRPr="000D2CA3">
              <w:rPr>
                <w:rFonts w:ascii="Garamond" w:hAnsi="Garamond"/>
                <w:sz w:val="20"/>
                <w:szCs w:val="20"/>
              </w:rPr>
              <w:t>Permits benchmarking v</w:t>
            </w:r>
            <w:r w:rsidR="00661696" w:rsidRPr="000D2CA3">
              <w:rPr>
                <w:rFonts w:ascii="Garamond" w:hAnsi="Garamond"/>
                <w:sz w:val="20"/>
                <w:szCs w:val="20"/>
              </w:rPr>
              <w:t>ersus</w:t>
            </w:r>
            <w:r w:rsidRPr="000D2CA3">
              <w:rPr>
                <w:rFonts w:ascii="Garamond" w:hAnsi="Garamond"/>
                <w:sz w:val="20"/>
                <w:szCs w:val="20"/>
              </w:rPr>
              <w:t xml:space="preserve"> other investments</w:t>
            </w:r>
          </w:p>
        </w:tc>
        <w:tc>
          <w:tcPr>
            <w:tcW w:w="3573" w:type="dxa"/>
            <w:tcBorders>
              <w:top w:val="single" w:sz="7" w:space="0" w:color="000000"/>
              <w:left w:val="single" w:sz="7" w:space="0" w:color="000000"/>
              <w:bottom w:val="single" w:sz="7" w:space="0" w:color="000000"/>
              <w:right w:val="single" w:sz="7" w:space="0" w:color="000000"/>
            </w:tcBorders>
          </w:tcPr>
          <w:p w14:paraId="37859150" w14:textId="7777777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Sensitive to choice of observation period</w:t>
            </w:r>
          </w:p>
          <w:p w14:paraId="1A247525" w14:textId="7777777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Needs to be risk adjusted</w:t>
            </w:r>
          </w:p>
        </w:tc>
      </w:tr>
      <w:tr w:rsidR="00D905F6" w:rsidRPr="000D2CA3" w14:paraId="291E0729" w14:textId="77777777" w:rsidTr="00103F33">
        <w:trPr>
          <w:cantSplit/>
          <w:trHeight w:val="20"/>
          <w:jc w:val="center"/>
        </w:trPr>
        <w:tc>
          <w:tcPr>
            <w:tcW w:w="2691" w:type="dxa"/>
            <w:tcBorders>
              <w:top w:val="single" w:sz="7" w:space="0" w:color="000000"/>
              <w:left w:val="single" w:sz="7" w:space="0" w:color="000000"/>
              <w:bottom w:val="single" w:sz="7" w:space="0" w:color="000000"/>
              <w:right w:val="single" w:sz="7" w:space="0" w:color="000000"/>
            </w:tcBorders>
          </w:tcPr>
          <w:p w14:paraId="619B8F2A" w14:textId="77777777" w:rsidR="00D905F6" w:rsidRPr="000D2CA3" w:rsidRDefault="00D905F6" w:rsidP="009032CB">
            <w:pPr>
              <w:spacing w:after="0" w:line="234" w:lineRule="auto"/>
              <w:rPr>
                <w:rFonts w:ascii="Garamond" w:hAnsi="Garamond"/>
                <w:sz w:val="20"/>
                <w:szCs w:val="20"/>
              </w:rPr>
            </w:pPr>
            <w:r w:rsidRPr="000D2CA3">
              <w:rPr>
                <w:rFonts w:ascii="Garamond" w:hAnsi="Garamond"/>
                <w:sz w:val="20"/>
                <w:szCs w:val="20"/>
              </w:rPr>
              <w:t>5. Economic profit (EVA)</w:t>
            </w:r>
          </w:p>
        </w:tc>
        <w:tc>
          <w:tcPr>
            <w:tcW w:w="3240" w:type="dxa"/>
            <w:tcBorders>
              <w:top w:val="single" w:sz="7" w:space="0" w:color="000000"/>
              <w:left w:val="single" w:sz="7" w:space="0" w:color="000000"/>
              <w:bottom w:val="single" w:sz="7" w:space="0" w:color="000000"/>
              <w:right w:val="single" w:sz="7" w:space="0" w:color="000000"/>
            </w:tcBorders>
          </w:tcPr>
          <w:p w14:paraId="7958394A" w14:textId="38E599F9"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Risk adjusted</w:t>
            </w:r>
          </w:p>
          <w:p w14:paraId="489ABB60" w14:textId="7777777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Permits benchmarking</w:t>
            </w:r>
          </w:p>
          <w:p w14:paraId="73133680" w14:textId="7777777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Theoretically linked to market values</w:t>
            </w:r>
          </w:p>
          <w:p w14:paraId="431ECA88" w14:textId="7777777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Logically appealing</w:t>
            </w:r>
          </w:p>
          <w:p w14:paraId="0F4C8AF7" w14:textId="77777777" w:rsidR="00D905F6" w:rsidRPr="000D2CA3" w:rsidRDefault="00D905F6" w:rsidP="00103F33">
            <w:pPr>
              <w:numPr>
                <w:ilvl w:val="0"/>
                <w:numId w:val="6"/>
              </w:numPr>
              <w:spacing w:after="60" w:line="235" w:lineRule="auto"/>
              <w:rPr>
                <w:rFonts w:ascii="Garamond" w:hAnsi="Garamond"/>
                <w:sz w:val="20"/>
                <w:szCs w:val="20"/>
              </w:rPr>
            </w:pPr>
            <w:r w:rsidRPr="000D2CA3">
              <w:rPr>
                <w:rFonts w:ascii="Garamond" w:hAnsi="Garamond"/>
                <w:sz w:val="20"/>
                <w:szCs w:val="20"/>
              </w:rPr>
              <w:t>Increasingly widely used</w:t>
            </w:r>
          </w:p>
        </w:tc>
        <w:tc>
          <w:tcPr>
            <w:tcW w:w="3573" w:type="dxa"/>
            <w:tcBorders>
              <w:top w:val="single" w:sz="7" w:space="0" w:color="000000"/>
              <w:left w:val="single" w:sz="7" w:space="0" w:color="000000"/>
              <w:bottom w:val="single" w:sz="7" w:space="0" w:color="000000"/>
              <w:right w:val="single" w:sz="7" w:space="0" w:color="000000"/>
            </w:tcBorders>
          </w:tcPr>
          <w:p w14:paraId="5AF79904" w14:textId="7777777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Influenced by GAAP choices</w:t>
            </w:r>
          </w:p>
          <w:p w14:paraId="67B6145A" w14:textId="77777777" w:rsidR="00D905F6" w:rsidRPr="000D2CA3" w:rsidRDefault="00D905F6" w:rsidP="009032CB">
            <w:pPr>
              <w:numPr>
                <w:ilvl w:val="0"/>
                <w:numId w:val="6"/>
              </w:numPr>
              <w:spacing w:after="0" w:line="234" w:lineRule="auto"/>
              <w:rPr>
                <w:rFonts w:ascii="Garamond" w:hAnsi="Garamond"/>
                <w:sz w:val="20"/>
                <w:szCs w:val="20"/>
              </w:rPr>
            </w:pPr>
            <w:r w:rsidRPr="000D2CA3">
              <w:rPr>
                <w:rFonts w:ascii="Garamond" w:hAnsi="Garamond"/>
                <w:sz w:val="20"/>
                <w:szCs w:val="20"/>
              </w:rPr>
              <w:t>Ignores latent option values</w:t>
            </w:r>
          </w:p>
          <w:p w14:paraId="4F37C219" w14:textId="77777777" w:rsidR="00D905F6" w:rsidRPr="000D2CA3" w:rsidRDefault="00D905F6" w:rsidP="009032CB">
            <w:pPr>
              <w:spacing w:after="0"/>
              <w:rPr>
                <w:rFonts w:ascii="Garamond" w:hAnsi="Garamond"/>
                <w:sz w:val="20"/>
                <w:szCs w:val="20"/>
              </w:rPr>
            </w:pPr>
          </w:p>
        </w:tc>
      </w:tr>
    </w:tbl>
    <w:p w14:paraId="0EDF6DBD" w14:textId="63583706" w:rsidR="00C23AB2" w:rsidRPr="000D2CA3" w:rsidRDefault="000D2CA3" w:rsidP="00103F33">
      <w:pPr>
        <w:pStyle w:val="CaseSource"/>
        <w:ind w:left="0"/>
      </w:pPr>
      <w:r w:rsidRPr="000D2CA3">
        <w:t>Source: Created by author.</w:t>
      </w:r>
    </w:p>
    <w:p w14:paraId="21B39490" w14:textId="77777777" w:rsidR="00813E16" w:rsidRPr="000D2CA3" w:rsidRDefault="00813E16" w:rsidP="00103F33">
      <w:pPr>
        <w:pStyle w:val="CaseHead1"/>
      </w:pPr>
      <w:r w:rsidRPr="000D2CA3">
        <w:t>Closing</w:t>
      </w:r>
    </w:p>
    <w:p w14:paraId="46B95358" w14:textId="77777777" w:rsidR="00813E16" w:rsidRPr="000D2CA3" w:rsidRDefault="008F3CEE" w:rsidP="00103F33">
      <w:pPr>
        <w:pStyle w:val="CaseParagraph"/>
      </w:pPr>
      <w:r w:rsidRPr="000D2CA3">
        <w:t>Summarizing or updating the earlier class vote, t</w:t>
      </w:r>
      <w:r w:rsidR="003C2485" w:rsidRPr="000D2CA3">
        <w:t xml:space="preserve">he class may close with an </w:t>
      </w:r>
      <w:r w:rsidRPr="000D2CA3">
        <w:t>epilogue</w:t>
      </w:r>
      <w:r w:rsidR="003C2485" w:rsidRPr="000D2CA3">
        <w:t xml:space="preserve"> on the performance of the two firms since </w:t>
      </w:r>
      <w:r w:rsidRPr="000D2CA3">
        <w:t xml:space="preserve">April 2016. </w:t>
      </w:r>
    </w:p>
    <w:p w14:paraId="189A02B1" w14:textId="7166288A" w:rsidR="00E8093F" w:rsidRPr="000D2CA3" w:rsidRDefault="008F3CEE" w:rsidP="00103F33">
      <w:pPr>
        <w:pStyle w:val="CaseParagraph"/>
      </w:pPr>
      <w:r w:rsidRPr="008E07D4">
        <w:rPr>
          <w:rStyle w:val="CaseCallout"/>
        </w:rPr>
        <w:t>Exhibit TN4</w:t>
      </w:r>
      <w:r w:rsidRPr="000D2CA3">
        <w:t xml:space="preserve"> provides a performance summary for 2016.</w:t>
      </w:r>
      <w:r w:rsidR="00690EF6" w:rsidRPr="000D2CA3">
        <w:t xml:space="preserve"> </w:t>
      </w:r>
      <w:r w:rsidR="003B7850" w:rsidRPr="000D2CA3">
        <w:t xml:space="preserve">The exhibit shows that </w:t>
      </w:r>
      <w:r w:rsidR="00F704BA" w:rsidRPr="000D2CA3">
        <w:t>in 2016</w:t>
      </w:r>
      <w:r w:rsidR="00661696" w:rsidRPr="000D2CA3">
        <w:t>, UPS’s</w:t>
      </w:r>
      <w:r w:rsidR="00F704BA" w:rsidRPr="000D2CA3">
        <w:t xml:space="preserve"> performance </w:t>
      </w:r>
      <w:r w:rsidR="00D905F6" w:rsidRPr="000D2CA3">
        <w:t xml:space="preserve">continued to be better than </w:t>
      </w:r>
      <w:r w:rsidR="00661696" w:rsidRPr="000D2CA3">
        <w:t xml:space="preserve">FedEx’s </w:t>
      </w:r>
      <w:r w:rsidR="00D905F6" w:rsidRPr="000D2CA3">
        <w:t xml:space="preserve">across many dimensions (e.g., </w:t>
      </w:r>
      <w:r w:rsidR="00661696" w:rsidRPr="000D2CA3">
        <w:t>profit margin, asset turnover, ROA, ROE</w:t>
      </w:r>
      <w:r w:rsidR="00D905F6" w:rsidRPr="000D2CA3">
        <w:t>)</w:t>
      </w:r>
      <w:r w:rsidR="00661696" w:rsidRPr="000D2CA3">
        <w:t>;</w:t>
      </w:r>
      <w:r w:rsidR="00D905F6" w:rsidRPr="000D2CA3">
        <w:t xml:space="preserve"> however</w:t>
      </w:r>
      <w:r w:rsidR="00661696" w:rsidRPr="000D2CA3">
        <w:t>,</w:t>
      </w:r>
      <w:r w:rsidR="00D905F6" w:rsidRPr="000D2CA3">
        <w:t xml:space="preserve"> the stock returns for FedEx continued to be higher (26% for FedEx v</w:t>
      </w:r>
      <w:r w:rsidR="00661696" w:rsidRPr="000D2CA3">
        <w:t>ersus</w:t>
      </w:r>
      <w:r w:rsidR="00D905F6" w:rsidRPr="000D2CA3">
        <w:t xml:space="preserve"> 23% for UPS). Some justification for this </w:t>
      </w:r>
      <w:proofErr w:type="gramStart"/>
      <w:r w:rsidR="00D905F6" w:rsidRPr="000D2CA3">
        <w:t>is found</w:t>
      </w:r>
      <w:proofErr w:type="gramEnd"/>
      <w:r w:rsidR="00D905F6" w:rsidRPr="000D2CA3">
        <w:t xml:space="preserve"> in the relative </w:t>
      </w:r>
      <w:r w:rsidR="00D905F6" w:rsidRPr="000D2CA3">
        <w:lastRenderedPageBreak/>
        <w:t xml:space="preserve">improvement in financial performance. The ROA for FedEx went up to 4.0% while the ROA for UPS went down to 8.5%. One can note that the ROE for UPS went way up to 847%. Students can identify that the cause for this extraordinary ROE is again due to </w:t>
      </w:r>
      <w:proofErr w:type="gramStart"/>
      <w:r w:rsidR="00D905F6" w:rsidRPr="000D2CA3">
        <w:t>leverage</w:t>
      </w:r>
      <w:proofErr w:type="gramEnd"/>
      <w:r w:rsidR="00661696" w:rsidRPr="000D2CA3">
        <w:t>,</w:t>
      </w:r>
      <w:r w:rsidR="00D905F6" w:rsidRPr="000D2CA3">
        <w:t xml:space="preserve"> as the book value of equity for UPS was reduced through equity buybacks to just $405</w:t>
      </w:r>
      <w:r w:rsidR="00C23AB2" w:rsidRPr="000D2CA3">
        <w:t> </w:t>
      </w:r>
      <w:r w:rsidR="00D905F6" w:rsidRPr="000D2CA3">
        <w:t>million. FedEx also continued to outpace UPS on revenue growth (6% for FedEx v</w:t>
      </w:r>
      <w:r w:rsidR="00661696" w:rsidRPr="000D2CA3">
        <w:t>ersus</w:t>
      </w:r>
      <w:r w:rsidR="00D905F6" w:rsidRPr="000D2CA3">
        <w:t xml:space="preserve"> 4% for UPS). These changes in performance </w:t>
      </w:r>
      <w:r w:rsidR="00C23AB2" w:rsidRPr="000D2CA3">
        <w:t>could</w:t>
      </w:r>
      <w:r w:rsidR="00D905F6" w:rsidRPr="000D2CA3">
        <w:t xml:space="preserve"> explain the updated expectation for the two companies contained in </w:t>
      </w:r>
      <w:r w:rsidR="00661696" w:rsidRPr="000D2CA3">
        <w:t xml:space="preserve">FedEx’s </w:t>
      </w:r>
      <w:r w:rsidR="00D905F6" w:rsidRPr="000D2CA3">
        <w:t>outperformance in the public equity market.</w:t>
      </w:r>
      <w:r w:rsidR="00757815" w:rsidRPr="000D2CA3">
        <w:t xml:space="preserve"> </w:t>
      </w:r>
    </w:p>
    <w:p w14:paraId="0654EA91" w14:textId="77777777" w:rsidR="00757815" w:rsidRPr="000D2CA3" w:rsidRDefault="00757815" w:rsidP="000D2CA3">
      <w:pPr>
        <w:jc w:val="both"/>
        <w:rPr>
          <w:rFonts w:ascii="Garamond" w:hAnsi="Garamond"/>
          <w:sz w:val="22"/>
          <w:szCs w:val="22"/>
        </w:rPr>
      </w:pPr>
    </w:p>
    <w:p w14:paraId="46D8CB2E" w14:textId="77777777" w:rsidR="00757815" w:rsidRPr="000D2CA3" w:rsidRDefault="00757815" w:rsidP="000D2CA3">
      <w:pPr>
        <w:rPr>
          <w:rFonts w:ascii="Garamond" w:hAnsi="Garamond"/>
          <w:sz w:val="22"/>
          <w:szCs w:val="22"/>
        </w:rPr>
      </w:pPr>
      <w:r w:rsidRPr="000D2CA3">
        <w:rPr>
          <w:rFonts w:ascii="Garamond" w:hAnsi="Garamond"/>
          <w:sz w:val="22"/>
          <w:szCs w:val="22"/>
        </w:rPr>
        <w:br w:type="page"/>
      </w:r>
    </w:p>
    <w:p w14:paraId="45826CCC" w14:textId="3C593F29" w:rsidR="00757815" w:rsidRPr="000D2CA3" w:rsidRDefault="00757815" w:rsidP="00103F33">
      <w:pPr>
        <w:pStyle w:val="CaseExhibit"/>
      </w:pPr>
      <w:r w:rsidRPr="000D2CA3">
        <w:lastRenderedPageBreak/>
        <w:t>Exhibit TN1</w:t>
      </w:r>
    </w:p>
    <w:p w14:paraId="278AEFFC" w14:textId="7A153DD6" w:rsidR="00757815" w:rsidRPr="000D2CA3" w:rsidRDefault="00757815" w:rsidP="00103F33">
      <w:pPr>
        <w:pStyle w:val="CaseExhibitTitle"/>
      </w:pPr>
      <w:r w:rsidRPr="000D2CA3">
        <w:t>The Battle for Value, 2016: FedEx Corp. v</w:t>
      </w:r>
      <w:r w:rsidR="000A6FA3" w:rsidRPr="000D2CA3">
        <w:t>ersus</w:t>
      </w:r>
      <w:r w:rsidRPr="000D2CA3">
        <w:t xml:space="preserve"> United Parcel Service, Inc.</w:t>
      </w:r>
    </w:p>
    <w:p w14:paraId="0A2E9C32" w14:textId="3C39A484" w:rsidR="00757815" w:rsidRPr="000D2CA3" w:rsidRDefault="00757815" w:rsidP="00103F33">
      <w:pPr>
        <w:pStyle w:val="CaseExhibitSubTitle1"/>
      </w:pPr>
      <w:r w:rsidRPr="000D2CA3">
        <w:t>Business Comparison</w:t>
      </w:r>
      <w:r w:rsidR="00661696" w:rsidRPr="000D2CA3">
        <w:t>,</w:t>
      </w:r>
      <w:r w:rsidRPr="000D2CA3">
        <w:t xml:space="preserve"> FedEx v</w:t>
      </w:r>
      <w:r w:rsidR="00661696" w:rsidRPr="000D2CA3">
        <w:t>ersus</w:t>
      </w:r>
      <w:r w:rsidRPr="000D2CA3">
        <w:t xml:space="preserve"> UPS</w:t>
      </w:r>
    </w:p>
    <w:tbl>
      <w:tblPr>
        <w:tblW w:w="8660" w:type="dxa"/>
        <w:tblInd w:w="612" w:type="dxa"/>
        <w:tblLook w:val="04A0" w:firstRow="1" w:lastRow="0" w:firstColumn="1" w:lastColumn="0" w:noHBand="0" w:noVBand="1"/>
      </w:tblPr>
      <w:tblGrid>
        <w:gridCol w:w="3840"/>
        <w:gridCol w:w="1300"/>
        <w:gridCol w:w="1300"/>
        <w:gridCol w:w="2220"/>
      </w:tblGrid>
      <w:tr w:rsidR="0012258E" w:rsidRPr="000D2CA3" w14:paraId="4CE239FA" w14:textId="77777777" w:rsidTr="0012258E">
        <w:trPr>
          <w:trHeight w:val="333"/>
        </w:trPr>
        <w:tc>
          <w:tcPr>
            <w:tcW w:w="3840" w:type="dxa"/>
            <w:tcBorders>
              <w:top w:val="nil"/>
              <w:left w:val="nil"/>
              <w:bottom w:val="nil"/>
              <w:right w:val="nil"/>
            </w:tcBorders>
            <w:shd w:val="clear" w:color="auto" w:fill="auto"/>
            <w:noWrap/>
            <w:vAlign w:val="bottom"/>
            <w:hideMark/>
          </w:tcPr>
          <w:p w14:paraId="5A4DEA0B" w14:textId="77777777" w:rsidR="0012258E" w:rsidRPr="000D2CA3" w:rsidRDefault="0012258E" w:rsidP="00103F33">
            <w:pPr>
              <w:spacing w:after="60"/>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7A18958A"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UPS</w:t>
            </w:r>
          </w:p>
        </w:tc>
        <w:tc>
          <w:tcPr>
            <w:tcW w:w="1300" w:type="dxa"/>
            <w:tcBorders>
              <w:top w:val="nil"/>
              <w:left w:val="nil"/>
              <w:bottom w:val="nil"/>
              <w:right w:val="nil"/>
            </w:tcBorders>
            <w:shd w:val="clear" w:color="auto" w:fill="auto"/>
            <w:noWrap/>
            <w:vAlign w:val="bottom"/>
            <w:hideMark/>
          </w:tcPr>
          <w:p w14:paraId="1C2DBE67"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FedEx</w:t>
            </w:r>
          </w:p>
        </w:tc>
        <w:tc>
          <w:tcPr>
            <w:tcW w:w="2220" w:type="dxa"/>
            <w:tcBorders>
              <w:top w:val="nil"/>
              <w:left w:val="nil"/>
              <w:bottom w:val="nil"/>
              <w:right w:val="nil"/>
            </w:tcBorders>
            <w:shd w:val="clear" w:color="auto" w:fill="auto"/>
            <w:noWrap/>
            <w:vAlign w:val="bottom"/>
            <w:hideMark/>
          </w:tcPr>
          <w:p w14:paraId="21EE4538" w14:textId="77777777" w:rsidR="0012258E" w:rsidRPr="000D2CA3" w:rsidRDefault="0012258E" w:rsidP="00103F33">
            <w:pPr>
              <w:spacing w:after="60"/>
              <w:jc w:val="right"/>
              <w:rPr>
                <w:rFonts w:ascii="Garamond" w:hAnsi="Garamond"/>
                <w:color w:val="000000"/>
                <w:sz w:val="22"/>
                <w:szCs w:val="22"/>
              </w:rPr>
            </w:pPr>
          </w:p>
        </w:tc>
      </w:tr>
      <w:tr w:rsidR="0012258E" w:rsidRPr="000D2CA3" w14:paraId="74EBD0FE" w14:textId="77777777" w:rsidTr="0012258E">
        <w:trPr>
          <w:trHeight w:val="300"/>
        </w:trPr>
        <w:tc>
          <w:tcPr>
            <w:tcW w:w="3840" w:type="dxa"/>
            <w:tcBorders>
              <w:top w:val="nil"/>
              <w:left w:val="nil"/>
              <w:bottom w:val="nil"/>
              <w:right w:val="nil"/>
            </w:tcBorders>
            <w:shd w:val="clear" w:color="auto" w:fill="auto"/>
            <w:noWrap/>
            <w:vAlign w:val="bottom"/>
            <w:hideMark/>
          </w:tcPr>
          <w:p w14:paraId="1DD71459" w14:textId="77777777" w:rsidR="0012258E" w:rsidRPr="000D2CA3" w:rsidRDefault="0012258E" w:rsidP="00103F33">
            <w:pPr>
              <w:spacing w:after="60"/>
              <w:rPr>
                <w:rFonts w:ascii="Garamond" w:hAnsi="Garamond"/>
                <w:b/>
                <w:bCs/>
                <w:color w:val="000000"/>
                <w:sz w:val="22"/>
                <w:szCs w:val="22"/>
              </w:rPr>
            </w:pPr>
            <w:r w:rsidRPr="000D2CA3">
              <w:rPr>
                <w:rFonts w:ascii="Garamond" w:hAnsi="Garamond"/>
                <w:b/>
                <w:bCs/>
                <w:color w:val="000000"/>
                <w:sz w:val="22"/>
                <w:szCs w:val="22"/>
              </w:rPr>
              <w:t>Financial measures</w:t>
            </w:r>
          </w:p>
        </w:tc>
        <w:tc>
          <w:tcPr>
            <w:tcW w:w="1300" w:type="dxa"/>
            <w:tcBorders>
              <w:top w:val="nil"/>
              <w:left w:val="nil"/>
              <w:bottom w:val="nil"/>
              <w:right w:val="nil"/>
            </w:tcBorders>
            <w:shd w:val="clear" w:color="auto" w:fill="auto"/>
            <w:noWrap/>
            <w:vAlign w:val="bottom"/>
            <w:hideMark/>
          </w:tcPr>
          <w:p w14:paraId="5F345CB8" w14:textId="77777777" w:rsidR="0012258E" w:rsidRPr="000D2CA3" w:rsidRDefault="0012258E" w:rsidP="00103F33">
            <w:pPr>
              <w:spacing w:after="60"/>
              <w:rPr>
                <w:rFonts w:ascii="Garamond" w:hAnsi="Garamond"/>
                <w:b/>
                <w:bCs/>
                <w:color w:val="000000"/>
                <w:sz w:val="22"/>
                <w:szCs w:val="22"/>
              </w:rPr>
            </w:pPr>
          </w:p>
        </w:tc>
        <w:tc>
          <w:tcPr>
            <w:tcW w:w="1300" w:type="dxa"/>
            <w:tcBorders>
              <w:top w:val="nil"/>
              <w:left w:val="nil"/>
              <w:bottom w:val="nil"/>
              <w:right w:val="nil"/>
            </w:tcBorders>
            <w:shd w:val="clear" w:color="auto" w:fill="auto"/>
            <w:noWrap/>
            <w:vAlign w:val="bottom"/>
            <w:hideMark/>
          </w:tcPr>
          <w:p w14:paraId="76D5D622" w14:textId="77777777" w:rsidR="0012258E" w:rsidRPr="000D2CA3" w:rsidRDefault="0012258E" w:rsidP="00103F33">
            <w:pPr>
              <w:spacing w:after="60"/>
              <w:jc w:val="right"/>
              <w:rPr>
                <w:rFonts w:ascii="Garamond" w:hAnsi="Garamond"/>
                <w:sz w:val="22"/>
                <w:szCs w:val="22"/>
              </w:rPr>
            </w:pPr>
          </w:p>
        </w:tc>
        <w:tc>
          <w:tcPr>
            <w:tcW w:w="2220" w:type="dxa"/>
            <w:tcBorders>
              <w:top w:val="nil"/>
              <w:left w:val="nil"/>
              <w:bottom w:val="nil"/>
              <w:right w:val="nil"/>
            </w:tcBorders>
            <w:shd w:val="clear" w:color="auto" w:fill="auto"/>
            <w:noWrap/>
            <w:vAlign w:val="bottom"/>
            <w:hideMark/>
          </w:tcPr>
          <w:p w14:paraId="0484C7A6" w14:textId="77777777" w:rsidR="0012258E" w:rsidRPr="000D2CA3" w:rsidRDefault="0012258E" w:rsidP="00103F33">
            <w:pPr>
              <w:spacing w:after="60"/>
              <w:jc w:val="right"/>
              <w:rPr>
                <w:rFonts w:ascii="Garamond" w:hAnsi="Garamond"/>
                <w:sz w:val="22"/>
                <w:szCs w:val="22"/>
              </w:rPr>
            </w:pPr>
          </w:p>
        </w:tc>
      </w:tr>
      <w:tr w:rsidR="0012258E" w:rsidRPr="000D2CA3" w14:paraId="045C9DC9" w14:textId="77777777" w:rsidTr="0012258E">
        <w:trPr>
          <w:trHeight w:val="300"/>
        </w:trPr>
        <w:tc>
          <w:tcPr>
            <w:tcW w:w="3840" w:type="dxa"/>
            <w:tcBorders>
              <w:top w:val="nil"/>
              <w:left w:val="nil"/>
              <w:bottom w:val="nil"/>
              <w:right w:val="nil"/>
            </w:tcBorders>
            <w:shd w:val="clear" w:color="auto" w:fill="auto"/>
            <w:noWrap/>
            <w:vAlign w:val="bottom"/>
            <w:hideMark/>
          </w:tcPr>
          <w:p w14:paraId="15BD8821" w14:textId="0A692E01"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 xml:space="preserve">Financial data (2015, </w:t>
            </w:r>
            <w:r w:rsidR="00540D9C" w:rsidRPr="000D2CA3">
              <w:rPr>
                <w:rFonts w:ascii="Garamond" w:hAnsi="Garamond"/>
                <w:color w:val="000000"/>
                <w:sz w:val="22"/>
                <w:szCs w:val="22"/>
              </w:rPr>
              <w:t>millions of dollars</w:t>
            </w:r>
            <w:r w:rsidRPr="000D2CA3">
              <w:rPr>
                <w:rFonts w:ascii="Garamond" w:hAnsi="Garamond"/>
                <w:color w:val="000000"/>
                <w:sz w:val="22"/>
                <w:szCs w:val="22"/>
              </w:rPr>
              <w:t>)</w:t>
            </w:r>
          </w:p>
        </w:tc>
        <w:tc>
          <w:tcPr>
            <w:tcW w:w="1300" w:type="dxa"/>
            <w:tcBorders>
              <w:top w:val="nil"/>
              <w:left w:val="nil"/>
              <w:bottom w:val="nil"/>
              <w:right w:val="nil"/>
            </w:tcBorders>
            <w:shd w:val="clear" w:color="auto" w:fill="auto"/>
            <w:noWrap/>
            <w:vAlign w:val="bottom"/>
            <w:hideMark/>
          </w:tcPr>
          <w:p w14:paraId="231C042D" w14:textId="77777777" w:rsidR="0012258E" w:rsidRPr="000D2CA3" w:rsidRDefault="0012258E" w:rsidP="00103F33">
            <w:pPr>
              <w:spacing w:after="60"/>
              <w:rPr>
                <w:rFonts w:ascii="Garamond" w:hAnsi="Garamond"/>
                <w:color w:val="000000"/>
                <w:sz w:val="22"/>
                <w:szCs w:val="22"/>
              </w:rPr>
            </w:pPr>
          </w:p>
        </w:tc>
        <w:tc>
          <w:tcPr>
            <w:tcW w:w="1300" w:type="dxa"/>
            <w:tcBorders>
              <w:top w:val="nil"/>
              <w:left w:val="nil"/>
              <w:bottom w:val="nil"/>
              <w:right w:val="nil"/>
            </w:tcBorders>
            <w:shd w:val="clear" w:color="auto" w:fill="auto"/>
            <w:noWrap/>
            <w:vAlign w:val="bottom"/>
            <w:hideMark/>
          </w:tcPr>
          <w:p w14:paraId="04D8EFF1" w14:textId="77777777" w:rsidR="0012258E" w:rsidRPr="000D2CA3" w:rsidRDefault="0012258E" w:rsidP="00103F33">
            <w:pPr>
              <w:spacing w:after="60"/>
              <w:jc w:val="right"/>
              <w:rPr>
                <w:rFonts w:ascii="Garamond" w:hAnsi="Garamond"/>
                <w:sz w:val="22"/>
                <w:szCs w:val="22"/>
              </w:rPr>
            </w:pPr>
          </w:p>
        </w:tc>
        <w:tc>
          <w:tcPr>
            <w:tcW w:w="2220" w:type="dxa"/>
            <w:tcBorders>
              <w:top w:val="nil"/>
              <w:left w:val="nil"/>
              <w:bottom w:val="nil"/>
              <w:right w:val="nil"/>
            </w:tcBorders>
            <w:shd w:val="clear" w:color="auto" w:fill="auto"/>
            <w:noWrap/>
            <w:vAlign w:val="bottom"/>
            <w:hideMark/>
          </w:tcPr>
          <w:p w14:paraId="1179AFDE" w14:textId="77777777" w:rsidR="0012258E" w:rsidRPr="000D2CA3" w:rsidRDefault="0012258E" w:rsidP="00103F33">
            <w:pPr>
              <w:spacing w:after="60"/>
              <w:jc w:val="right"/>
              <w:rPr>
                <w:rFonts w:ascii="Garamond" w:hAnsi="Garamond"/>
                <w:sz w:val="22"/>
                <w:szCs w:val="22"/>
              </w:rPr>
            </w:pPr>
          </w:p>
        </w:tc>
      </w:tr>
      <w:tr w:rsidR="0012258E" w:rsidRPr="000D2CA3" w14:paraId="54F8291D" w14:textId="77777777" w:rsidTr="0012258E">
        <w:trPr>
          <w:trHeight w:val="300"/>
        </w:trPr>
        <w:tc>
          <w:tcPr>
            <w:tcW w:w="3840" w:type="dxa"/>
            <w:tcBorders>
              <w:top w:val="nil"/>
              <w:left w:val="nil"/>
              <w:bottom w:val="nil"/>
              <w:right w:val="nil"/>
            </w:tcBorders>
            <w:shd w:val="clear" w:color="auto" w:fill="auto"/>
            <w:noWrap/>
            <w:vAlign w:val="bottom"/>
            <w:hideMark/>
          </w:tcPr>
          <w:p w14:paraId="701DDC18"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Revenue</w:t>
            </w:r>
          </w:p>
        </w:tc>
        <w:tc>
          <w:tcPr>
            <w:tcW w:w="1300" w:type="dxa"/>
            <w:tcBorders>
              <w:top w:val="nil"/>
              <w:left w:val="nil"/>
              <w:bottom w:val="nil"/>
              <w:right w:val="nil"/>
            </w:tcBorders>
            <w:shd w:val="clear" w:color="auto" w:fill="auto"/>
            <w:noWrap/>
            <w:vAlign w:val="bottom"/>
            <w:hideMark/>
          </w:tcPr>
          <w:p w14:paraId="449167C6"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58,363</w:t>
            </w:r>
          </w:p>
        </w:tc>
        <w:tc>
          <w:tcPr>
            <w:tcW w:w="1300" w:type="dxa"/>
            <w:tcBorders>
              <w:top w:val="nil"/>
              <w:left w:val="nil"/>
              <w:bottom w:val="nil"/>
              <w:right w:val="nil"/>
            </w:tcBorders>
            <w:shd w:val="clear" w:color="auto" w:fill="auto"/>
            <w:noWrap/>
            <w:vAlign w:val="bottom"/>
            <w:hideMark/>
          </w:tcPr>
          <w:p w14:paraId="1946F5DE" w14:textId="7C00A3A1"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47,453</w:t>
            </w:r>
          </w:p>
        </w:tc>
        <w:tc>
          <w:tcPr>
            <w:tcW w:w="2220" w:type="dxa"/>
            <w:tcBorders>
              <w:top w:val="nil"/>
              <w:left w:val="nil"/>
              <w:bottom w:val="nil"/>
              <w:right w:val="nil"/>
            </w:tcBorders>
            <w:shd w:val="clear" w:color="auto" w:fill="auto"/>
            <w:noWrap/>
            <w:vAlign w:val="bottom"/>
            <w:hideMark/>
          </w:tcPr>
          <w:p w14:paraId="5252FE71" w14:textId="77777777" w:rsidR="0012258E" w:rsidRPr="000D2CA3" w:rsidRDefault="0012258E" w:rsidP="00103F33">
            <w:pPr>
              <w:spacing w:after="60"/>
              <w:jc w:val="right"/>
              <w:rPr>
                <w:rFonts w:ascii="Garamond" w:hAnsi="Garamond"/>
                <w:color w:val="000000"/>
                <w:sz w:val="22"/>
                <w:szCs w:val="22"/>
              </w:rPr>
            </w:pPr>
          </w:p>
        </w:tc>
      </w:tr>
      <w:tr w:rsidR="0012258E" w:rsidRPr="000D2CA3" w14:paraId="30B8A757" w14:textId="77777777" w:rsidTr="0012258E">
        <w:trPr>
          <w:trHeight w:val="300"/>
        </w:trPr>
        <w:tc>
          <w:tcPr>
            <w:tcW w:w="3840" w:type="dxa"/>
            <w:tcBorders>
              <w:top w:val="nil"/>
              <w:left w:val="nil"/>
              <w:bottom w:val="nil"/>
              <w:right w:val="nil"/>
            </w:tcBorders>
            <w:shd w:val="clear" w:color="auto" w:fill="auto"/>
            <w:noWrap/>
            <w:vAlign w:val="bottom"/>
            <w:hideMark/>
          </w:tcPr>
          <w:p w14:paraId="4F4E253C"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Operating profit</w:t>
            </w:r>
          </w:p>
        </w:tc>
        <w:tc>
          <w:tcPr>
            <w:tcW w:w="1300" w:type="dxa"/>
            <w:tcBorders>
              <w:top w:val="nil"/>
              <w:left w:val="nil"/>
              <w:bottom w:val="nil"/>
              <w:right w:val="nil"/>
            </w:tcBorders>
            <w:shd w:val="clear" w:color="auto" w:fill="auto"/>
            <w:noWrap/>
            <w:vAlign w:val="bottom"/>
            <w:hideMark/>
          </w:tcPr>
          <w:p w14:paraId="03F757A0"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7,668</w:t>
            </w:r>
          </w:p>
        </w:tc>
        <w:tc>
          <w:tcPr>
            <w:tcW w:w="1300" w:type="dxa"/>
            <w:tcBorders>
              <w:top w:val="nil"/>
              <w:left w:val="nil"/>
              <w:bottom w:val="nil"/>
              <w:right w:val="nil"/>
            </w:tcBorders>
            <w:shd w:val="clear" w:color="auto" w:fill="auto"/>
            <w:noWrap/>
            <w:vAlign w:val="bottom"/>
            <w:hideMark/>
          </w:tcPr>
          <w:p w14:paraId="42E94D06" w14:textId="2049304E"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1</w:t>
            </w:r>
            <w:r w:rsidR="00540D9C" w:rsidRPr="000D2CA3">
              <w:rPr>
                <w:rFonts w:ascii="Garamond" w:hAnsi="Garamond"/>
                <w:color w:val="000000"/>
                <w:sz w:val="22"/>
                <w:szCs w:val="22"/>
              </w:rPr>
              <w:t>,</w:t>
            </w:r>
            <w:r w:rsidRPr="000D2CA3">
              <w:rPr>
                <w:rFonts w:ascii="Garamond" w:hAnsi="Garamond"/>
                <w:color w:val="000000"/>
                <w:sz w:val="22"/>
                <w:szCs w:val="22"/>
              </w:rPr>
              <w:t>867</w:t>
            </w:r>
          </w:p>
        </w:tc>
        <w:tc>
          <w:tcPr>
            <w:tcW w:w="2220" w:type="dxa"/>
            <w:tcBorders>
              <w:top w:val="nil"/>
              <w:left w:val="nil"/>
              <w:bottom w:val="nil"/>
              <w:right w:val="nil"/>
            </w:tcBorders>
            <w:shd w:val="clear" w:color="auto" w:fill="auto"/>
            <w:noWrap/>
            <w:vAlign w:val="bottom"/>
            <w:hideMark/>
          </w:tcPr>
          <w:p w14:paraId="0B3CA5FE" w14:textId="77777777" w:rsidR="0012258E" w:rsidRPr="000D2CA3" w:rsidRDefault="0012258E" w:rsidP="00103F33">
            <w:pPr>
              <w:spacing w:after="60"/>
              <w:jc w:val="right"/>
              <w:rPr>
                <w:rFonts w:ascii="Garamond" w:hAnsi="Garamond"/>
                <w:color w:val="000000"/>
                <w:sz w:val="22"/>
                <w:szCs w:val="22"/>
              </w:rPr>
            </w:pPr>
          </w:p>
        </w:tc>
      </w:tr>
      <w:tr w:rsidR="0012258E" w:rsidRPr="000D2CA3" w14:paraId="181A6260" w14:textId="77777777" w:rsidTr="0012258E">
        <w:trPr>
          <w:trHeight w:val="300"/>
        </w:trPr>
        <w:tc>
          <w:tcPr>
            <w:tcW w:w="3840" w:type="dxa"/>
            <w:tcBorders>
              <w:top w:val="nil"/>
              <w:left w:val="nil"/>
              <w:bottom w:val="nil"/>
              <w:right w:val="nil"/>
            </w:tcBorders>
            <w:shd w:val="clear" w:color="auto" w:fill="auto"/>
            <w:noWrap/>
            <w:vAlign w:val="bottom"/>
            <w:hideMark/>
          </w:tcPr>
          <w:p w14:paraId="36F87292"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 xml:space="preserve">Net profit </w:t>
            </w:r>
          </w:p>
        </w:tc>
        <w:tc>
          <w:tcPr>
            <w:tcW w:w="1300" w:type="dxa"/>
            <w:tcBorders>
              <w:top w:val="nil"/>
              <w:left w:val="nil"/>
              <w:bottom w:val="nil"/>
              <w:right w:val="nil"/>
            </w:tcBorders>
            <w:shd w:val="clear" w:color="auto" w:fill="auto"/>
            <w:noWrap/>
            <w:vAlign w:val="bottom"/>
            <w:hideMark/>
          </w:tcPr>
          <w:p w14:paraId="74502D31"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4,844</w:t>
            </w:r>
          </w:p>
        </w:tc>
        <w:tc>
          <w:tcPr>
            <w:tcW w:w="1300" w:type="dxa"/>
            <w:tcBorders>
              <w:top w:val="nil"/>
              <w:left w:val="nil"/>
              <w:bottom w:val="nil"/>
              <w:right w:val="nil"/>
            </w:tcBorders>
            <w:shd w:val="clear" w:color="auto" w:fill="auto"/>
            <w:noWrap/>
            <w:vAlign w:val="bottom"/>
            <w:hideMark/>
          </w:tcPr>
          <w:p w14:paraId="42E2AF0E" w14:textId="0CC09F66"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1</w:t>
            </w:r>
            <w:r w:rsidR="00540D9C" w:rsidRPr="000D2CA3">
              <w:rPr>
                <w:rFonts w:ascii="Garamond" w:hAnsi="Garamond"/>
                <w:color w:val="000000"/>
                <w:sz w:val="22"/>
                <w:szCs w:val="22"/>
              </w:rPr>
              <w:t>,</w:t>
            </w:r>
            <w:r w:rsidRPr="000D2CA3">
              <w:rPr>
                <w:rFonts w:ascii="Garamond" w:hAnsi="Garamond"/>
                <w:color w:val="000000"/>
                <w:sz w:val="22"/>
                <w:szCs w:val="22"/>
              </w:rPr>
              <w:t>050</w:t>
            </w:r>
          </w:p>
        </w:tc>
        <w:tc>
          <w:tcPr>
            <w:tcW w:w="2220" w:type="dxa"/>
            <w:tcBorders>
              <w:top w:val="nil"/>
              <w:left w:val="nil"/>
              <w:bottom w:val="nil"/>
              <w:right w:val="nil"/>
            </w:tcBorders>
            <w:shd w:val="clear" w:color="auto" w:fill="auto"/>
            <w:noWrap/>
            <w:vAlign w:val="bottom"/>
            <w:hideMark/>
          </w:tcPr>
          <w:p w14:paraId="0D62887A" w14:textId="77777777" w:rsidR="0012258E" w:rsidRPr="000D2CA3" w:rsidRDefault="0012258E" w:rsidP="00103F33">
            <w:pPr>
              <w:spacing w:after="60"/>
              <w:jc w:val="right"/>
              <w:rPr>
                <w:rFonts w:ascii="Garamond" w:hAnsi="Garamond"/>
                <w:color w:val="000000"/>
                <w:sz w:val="22"/>
                <w:szCs w:val="22"/>
              </w:rPr>
            </w:pPr>
          </w:p>
        </w:tc>
      </w:tr>
      <w:tr w:rsidR="0012258E" w:rsidRPr="000D2CA3" w14:paraId="50254007" w14:textId="77777777" w:rsidTr="0012258E">
        <w:trPr>
          <w:trHeight w:val="300"/>
        </w:trPr>
        <w:tc>
          <w:tcPr>
            <w:tcW w:w="3840" w:type="dxa"/>
            <w:tcBorders>
              <w:top w:val="nil"/>
              <w:left w:val="nil"/>
              <w:bottom w:val="nil"/>
              <w:right w:val="nil"/>
            </w:tcBorders>
            <w:shd w:val="clear" w:color="auto" w:fill="auto"/>
            <w:noWrap/>
            <w:vAlign w:val="bottom"/>
            <w:hideMark/>
          </w:tcPr>
          <w:p w14:paraId="473CBD3D" w14:textId="5433FF3F"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 xml:space="preserve">Total </w:t>
            </w:r>
            <w:r w:rsidR="00540D9C" w:rsidRPr="000D2CA3">
              <w:rPr>
                <w:rFonts w:ascii="Garamond" w:hAnsi="Garamond"/>
                <w:color w:val="000000"/>
                <w:sz w:val="22"/>
                <w:szCs w:val="22"/>
              </w:rPr>
              <w:t>a</w:t>
            </w:r>
            <w:r w:rsidRPr="000D2CA3">
              <w:rPr>
                <w:rFonts w:ascii="Garamond" w:hAnsi="Garamond"/>
                <w:color w:val="000000"/>
                <w:sz w:val="22"/>
                <w:szCs w:val="22"/>
              </w:rPr>
              <w:t>ssets</w:t>
            </w:r>
          </w:p>
        </w:tc>
        <w:tc>
          <w:tcPr>
            <w:tcW w:w="1300" w:type="dxa"/>
            <w:tcBorders>
              <w:top w:val="nil"/>
              <w:left w:val="nil"/>
              <w:bottom w:val="nil"/>
              <w:right w:val="nil"/>
            </w:tcBorders>
            <w:shd w:val="clear" w:color="auto" w:fill="auto"/>
            <w:noWrap/>
            <w:vAlign w:val="bottom"/>
            <w:hideMark/>
          </w:tcPr>
          <w:p w14:paraId="0034A821"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38,311</w:t>
            </w:r>
          </w:p>
        </w:tc>
        <w:tc>
          <w:tcPr>
            <w:tcW w:w="1300" w:type="dxa"/>
            <w:tcBorders>
              <w:top w:val="nil"/>
              <w:left w:val="nil"/>
              <w:bottom w:val="nil"/>
              <w:right w:val="nil"/>
            </w:tcBorders>
            <w:shd w:val="clear" w:color="auto" w:fill="auto"/>
            <w:noWrap/>
            <w:vAlign w:val="bottom"/>
            <w:hideMark/>
          </w:tcPr>
          <w:p w14:paraId="7F229ABA" w14:textId="322115F0"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37</w:t>
            </w:r>
            <w:r w:rsidR="00540D9C" w:rsidRPr="000D2CA3">
              <w:rPr>
                <w:rFonts w:ascii="Garamond" w:hAnsi="Garamond"/>
                <w:color w:val="000000"/>
                <w:sz w:val="22"/>
                <w:szCs w:val="22"/>
              </w:rPr>
              <w:t>,</w:t>
            </w:r>
            <w:r w:rsidRPr="000D2CA3">
              <w:rPr>
                <w:rFonts w:ascii="Garamond" w:hAnsi="Garamond"/>
                <w:color w:val="000000"/>
                <w:sz w:val="22"/>
                <w:szCs w:val="22"/>
              </w:rPr>
              <w:t>069</w:t>
            </w:r>
          </w:p>
        </w:tc>
        <w:tc>
          <w:tcPr>
            <w:tcW w:w="2220" w:type="dxa"/>
            <w:tcBorders>
              <w:top w:val="nil"/>
              <w:left w:val="nil"/>
              <w:bottom w:val="nil"/>
              <w:right w:val="nil"/>
            </w:tcBorders>
            <w:shd w:val="clear" w:color="auto" w:fill="auto"/>
            <w:noWrap/>
            <w:vAlign w:val="bottom"/>
            <w:hideMark/>
          </w:tcPr>
          <w:p w14:paraId="6D96E03C" w14:textId="77777777" w:rsidR="0012258E" w:rsidRPr="000D2CA3" w:rsidRDefault="0012258E" w:rsidP="00103F33">
            <w:pPr>
              <w:spacing w:after="60"/>
              <w:jc w:val="right"/>
              <w:rPr>
                <w:rFonts w:ascii="Garamond" w:hAnsi="Garamond"/>
                <w:color w:val="000000"/>
                <w:sz w:val="22"/>
                <w:szCs w:val="22"/>
              </w:rPr>
            </w:pPr>
          </w:p>
        </w:tc>
      </w:tr>
      <w:tr w:rsidR="0012258E" w:rsidRPr="000D2CA3" w14:paraId="4BD447CC" w14:textId="77777777" w:rsidTr="0012258E">
        <w:trPr>
          <w:trHeight w:val="300"/>
        </w:trPr>
        <w:tc>
          <w:tcPr>
            <w:tcW w:w="3840" w:type="dxa"/>
            <w:tcBorders>
              <w:top w:val="nil"/>
              <w:left w:val="nil"/>
              <w:bottom w:val="nil"/>
              <w:right w:val="nil"/>
            </w:tcBorders>
            <w:shd w:val="clear" w:color="auto" w:fill="auto"/>
            <w:noWrap/>
            <w:vAlign w:val="bottom"/>
            <w:hideMark/>
          </w:tcPr>
          <w:p w14:paraId="40162B7A"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 xml:space="preserve">Market capitalization </w:t>
            </w:r>
          </w:p>
        </w:tc>
        <w:tc>
          <w:tcPr>
            <w:tcW w:w="1300" w:type="dxa"/>
            <w:tcBorders>
              <w:top w:val="nil"/>
              <w:left w:val="nil"/>
              <w:bottom w:val="nil"/>
              <w:right w:val="nil"/>
            </w:tcBorders>
            <w:shd w:val="clear" w:color="auto" w:fill="auto"/>
            <w:noWrap/>
            <w:vAlign w:val="bottom"/>
            <w:hideMark/>
          </w:tcPr>
          <w:p w14:paraId="2D8EC67B"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85,260</w:t>
            </w:r>
          </w:p>
        </w:tc>
        <w:tc>
          <w:tcPr>
            <w:tcW w:w="1300" w:type="dxa"/>
            <w:tcBorders>
              <w:top w:val="nil"/>
              <w:left w:val="nil"/>
              <w:bottom w:val="nil"/>
              <w:right w:val="nil"/>
            </w:tcBorders>
            <w:shd w:val="clear" w:color="auto" w:fill="auto"/>
            <w:noWrap/>
            <w:vAlign w:val="bottom"/>
            <w:hideMark/>
          </w:tcPr>
          <w:p w14:paraId="59612A62"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42,075</w:t>
            </w:r>
          </w:p>
        </w:tc>
        <w:tc>
          <w:tcPr>
            <w:tcW w:w="2220" w:type="dxa"/>
            <w:tcBorders>
              <w:top w:val="nil"/>
              <w:left w:val="nil"/>
              <w:bottom w:val="nil"/>
              <w:right w:val="nil"/>
            </w:tcBorders>
            <w:shd w:val="clear" w:color="auto" w:fill="auto"/>
            <w:noWrap/>
            <w:vAlign w:val="bottom"/>
            <w:hideMark/>
          </w:tcPr>
          <w:p w14:paraId="7FA3D94C" w14:textId="77777777" w:rsidR="0012258E" w:rsidRPr="000D2CA3" w:rsidRDefault="0012258E" w:rsidP="00103F33">
            <w:pPr>
              <w:spacing w:after="60"/>
              <w:jc w:val="right"/>
              <w:rPr>
                <w:rFonts w:ascii="Garamond" w:hAnsi="Garamond"/>
                <w:color w:val="000000"/>
                <w:sz w:val="22"/>
                <w:szCs w:val="22"/>
              </w:rPr>
            </w:pPr>
          </w:p>
        </w:tc>
      </w:tr>
      <w:tr w:rsidR="0012258E" w:rsidRPr="000D2CA3" w14:paraId="6E726A39" w14:textId="77777777" w:rsidTr="0012258E">
        <w:trPr>
          <w:trHeight w:val="300"/>
        </w:trPr>
        <w:tc>
          <w:tcPr>
            <w:tcW w:w="3840" w:type="dxa"/>
            <w:tcBorders>
              <w:top w:val="nil"/>
              <w:left w:val="nil"/>
              <w:bottom w:val="nil"/>
              <w:right w:val="nil"/>
            </w:tcBorders>
            <w:shd w:val="clear" w:color="auto" w:fill="auto"/>
            <w:noWrap/>
            <w:vAlign w:val="bottom"/>
            <w:hideMark/>
          </w:tcPr>
          <w:p w14:paraId="29D33B72" w14:textId="77777777" w:rsidR="0012258E" w:rsidRPr="000D2CA3" w:rsidRDefault="0012258E" w:rsidP="00103F33">
            <w:pPr>
              <w:spacing w:after="60"/>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279C5231" w14:textId="77777777" w:rsidR="0012258E" w:rsidRPr="000D2CA3" w:rsidRDefault="0012258E" w:rsidP="00103F33">
            <w:pPr>
              <w:spacing w:after="60"/>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3309EA1C" w14:textId="77777777" w:rsidR="0012258E" w:rsidRPr="000D2CA3" w:rsidRDefault="0012258E" w:rsidP="00103F33">
            <w:pPr>
              <w:spacing w:after="60"/>
              <w:jc w:val="right"/>
              <w:rPr>
                <w:rFonts w:ascii="Garamond" w:hAnsi="Garamond"/>
                <w:sz w:val="22"/>
                <w:szCs w:val="22"/>
              </w:rPr>
            </w:pPr>
          </w:p>
        </w:tc>
        <w:tc>
          <w:tcPr>
            <w:tcW w:w="2220" w:type="dxa"/>
            <w:tcBorders>
              <w:top w:val="nil"/>
              <w:left w:val="nil"/>
              <w:bottom w:val="nil"/>
              <w:right w:val="nil"/>
            </w:tcBorders>
            <w:shd w:val="clear" w:color="auto" w:fill="auto"/>
            <w:noWrap/>
            <w:vAlign w:val="bottom"/>
            <w:hideMark/>
          </w:tcPr>
          <w:p w14:paraId="1E66F284" w14:textId="77777777" w:rsidR="0012258E" w:rsidRPr="000D2CA3" w:rsidRDefault="0012258E" w:rsidP="00103F33">
            <w:pPr>
              <w:spacing w:after="60"/>
              <w:jc w:val="right"/>
              <w:rPr>
                <w:rFonts w:ascii="Garamond" w:hAnsi="Garamond"/>
                <w:sz w:val="22"/>
                <w:szCs w:val="22"/>
              </w:rPr>
            </w:pPr>
          </w:p>
        </w:tc>
      </w:tr>
      <w:tr w:rsidR="0012258E" w:rsidRPr="000D2CA3" w14:paraId="1EADFE56" w14:textId="77777777" w:rsidTr="0012258E">
        <w:trPr>
          <w:trHeight w:val="300"/>
        </w:trPr>
        <w:tc>
          <w:tcPr>
            <w:tcW w:w="3840" w:type="dxa"/>
            <w:tcBorders>
              <w:top w:val="nil"/>
              <w:left w:val="nil"/>
              <w:bottom w:val="nil"/>
              <w:right w:val="nil"/>
            </w:tcBorders>
            <w:shd w:val="clear" w:color="auto" w:fill="auto"/>
            <w:noWrap/>
            <w:vAlign w:val="bottom"/>
            <w:hideMark/>
          </w:tcPr>
          <w:p w14:paraId="3661F65B"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Revenue growth (2010 to 2015 CAGR)</w:t>
            </w:r>
          </w:p>
        </w:tc>
        <w:tc>
          <w:tcPr>
            <w:tcW w:w="1300" w:type="dxa"/>
            <w:tcBorders>
              <w:top w:val="nil"/>
              <w:left w:val="nil"/>
              <w:bottom w:val="nil"/>
              <w:right w:val="nil"/>
            </w:tcBorders>
            <w:shd w:val="clear" w:color="auto" w:fill="auto"/>
            <w:noWrap/>
            <w:vAlign w:val="bottom"/>
            <w:hideMark/>
          </w:tcPr>
          <w:p w14:paraId="6734DF64"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18%</w:t>
            </w:r>
          </w:p>
        </w:tc>
        <w:tc>
          <w:tcPr>
            <w:tcW w:w="1300" w:type="dxa"/>
            <w:tcBorders>
              <w:top w:val="nil"/>
              <w:left w:val="nil"/>
              <w:bottom w:val="nil"/>
              <w:right w:val="nil"/>
            </w:tcBorders>
            <w:shd w:val="clear" w:color="auto" w:fill="auto"/>
            <w:noWrap/>
            <w:vAlign w:val="bottom"/>
            <w:hideMark/>
          </w:tcPr>
          <w:p w14:paraId="726AF377"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37%</w:t>
            </w:r>
          </w:p>
        </w:tc>
        <w:tc>
          <w:tcPr>
            <w:tcW w:w="2220" w:type="dxa"/>
            <w:tcBorders>
              <w:top w:val="nil"/>
              <w:left w:val="nil"/>
              <w:bottom w:val="nil"/>
              <w:right w:val="nil"/>
            </w:tcBorders>
            <w:shd w:val="clear" w:color="auto" w:fill="auto"/>
            <w:noWrap/>
            <w:vAlign w:val="bottom"/>
            <w:hideMark/>
          </w:tcPr>
          <w:p w14:paraId="0C0B0AE7" w14:textId="77777777" w:rsidR="0012258E" w:rsidRPr="000D2CA3" w:rsidRDefault="0012258E" w:rsidP="00103F33">
            <w:pPr>
              <w:spacing w:after="60"/>
              <w:jc w:val="right"/>
              <w:rPr>
                <w:rFonts w:ascii="Garamond" w:hAnsi="Garamond"/>
                <w:color w:val="000000"/>
                <w:sz w:val="22"/>
                <w:szCs w:val="22"/>
              </w:rPr>
            </w:pPr>
          </w:p>
        </w:tc>
      </w:tr>
      <w:tr w:rsidR="0012258E" w:rsidRPr="000D2CA3" w14:paraId="611C9DD9" w14:textId="77777777" w:rsidTr="0012258E">
        <w:trPr>
          <w:trHeight w:val="300"/>
        </w:trPr>
        <w:tc>
          <w:tcPr>
            <w:tcW w:w="3840" w:type="dxa"/>
            <w:tcBorders>
              <w:top w:val="nil"/>
              <w:left w:val="nil"/>
              <w:bottom w:val="nil"/>
              <w:right w:val="nil"/>
            </w:tcBorders>
            <w:shd w:val="clear" w:color="auto" w:fill="auto"/>
            <w:noWrap/>
            <w:vAlign w:val="bottom"/>
            <w:hideMark/>
          </w:tcPr>
          <w:p w14:paraId="1402E87C"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 revenue international</w:t>
            </w:r>
          </w:p>
        </w:tc>
        <w:tc>
          <w:tcPr>
            <w:tcW w:w="1300" w:type="dxa"/>
            <w:tcBorders>
              <w:top w:val="nil"/>
              <w:left w:val="nil"/>
              <w:bottom w:val="nil"/>
              <w:right w:val="nil"/>
            </w:tcBorders>
            <w:shd w:val="clear" w:color="auto" w:fill="auto"/>
            <w:noWrap/>
            <w:vAlign w:val="bottom"/>
            <w:hideMark/>
          </w:tcPr>
          <w:p w14:paraId="4E9D9C36"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22%</w:t>
            </w:r>
          </w:p>
        </w:tc>
        <w:tc>
          <w:tcPr>
            <w:tcW w:w="1300" w:type="dxa"/>
            <w:tcBorders>
              <w:top w:val="nil"/>
              <w:left w:val="nil"/>
              <w:bottom w:val="nil"/>
              <w:right w:val="nil"/>
            </w:tcBorders>
            <w:shd w:val="clear" w:color="auto" w:fill="auto"/>
            <w:noWrap/>
            <w:vAlign w:val="bottom"/>
            <w:hideMark/>
          </w:tcPr>
          <w:p w14:paraId="0F7EA22E"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28%</w:t>
            </w:r>
          </w:p>
        </w:tc>
        <w:tc>
          <w:tcPr>
            <w:tcW w:w="2220" w:type="dxa"/>
            <w:tcBorders>
              <w:top w:val="nil"/>
              <w:left w:val="nil"/>
              <w:bottom w:val="nil"/>
              <w:right w:val="nil"/>
            </w:tcBorders>
            <w:shd w:val="clear" w:color="auto" w:fill="auto"/>
            <w:noWrap/>
            <w:vAlign w:val="bottom"/>
            <w:hideMark/>
          </w:tcPr>
          <w:p w14:paraId="08207B08" w14:textId="77777777" w:rsidR="0012258E" w:rsidRPr="000D2CA3" w:rsidRDefault="0012258E" w:rsidP="00103F33">
            <w:pPr>
              <w:spacing w:after="60"/>
              <w:jc w:val="right"/>
              <w:rPr>
                <w:rFonts w:ascii="Garamond" w:hAnsi="Garamond"/>
                <w:color w:val="000000"/>
                <w:sz w:val="22"/>
                <w:szCs w:val="22"/>
              </w:rPr>
            </w:pPr>
          </w:p>
        </w:tc>
      </w:tr>
      <w:tr w:rsidR="0012258E" w:rsidRPr="000D2CA3" w14:paraId="2245C129" w14:textId="77777777" w:rsidTr="0012258E">
        <w:trPr>
          <w:trHeight w:val="300"/>
        </w:trPr>
        <w:tc>
          <w:tcPr>
            <w:tcW w:w="3840" w:type="dxa"/>
            <w:tcBorders>
              <w:top w:val="nil"/>
              <w:left w:val="nil"/>
              <w:bottom w:val="nil"/>
              <w:right w:val="nil"/>
            </w:tcBorders>
            <w:shd w:val="clear" w:color="auto" w:fill="auto"/>
            <w:noWrap/>
            <w:vAlign w:val="bottom"/>
            <w:hideMark/>
          </w:tcPr>
          <w:p w14:paraId="21E073A9"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Operating margin (2015)</w:t>
            </w:r>
          </w:p>
        </w:tc>
        <w:tc>
          <w:tcPr>
            <w:tcW w:w="1300" w:type="dxa"/>
            <w:tcBorders>
              <w:top w:val="nil"/>
              <w:left w:val="nil"/>
              <w:bottom w:val="nil"/>
              <w:right w:val="nil"/>
            </w:tcBorders>
            <w:shd w:val="clear" w:color="auto" w:fill="auto"/>
            <w:noWrap/>
            <w:vAlign w:val="bottom"/>
            <w:hideMark/>
          </w:tcPr>
          <w:p w14:paraId="3AC1EE77"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13%</w:t>
            </w:r>
          </w:p>
        </w:tc>
        <w:tc>
          <w:tcPr>
            <w:tcW w:w="1300" w:type="dxa"/>
            <w:tcBorders>
              <w:top w:val="nil"/>
              <w:left w:val="nil"/>
              <w:bottom w:val="nil"/>
              <w:right w:val="nil"/>
            </w:tcBorders>
            <w:shd w:val="clear" w:color="auto" w:fill="auto"/>
            <w:noWrap/>
            <w:vAlign w:val="bottom"/>
            <w:hideMark/>
          </w:tcPr>
          <w:p w14:paraId="3CE61D6D"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4%</w:t>
            </w:r>
          </w:p>
        </w:tc>
        <w:tc>
          <w:tcPr>
            <w:tcW w:w="2220" w:type="dxa"/>
            <w:tcBorders>
              <w:top w:val="nil"/>
              <w:left w:val="nil"/>
              <w:bottom w:val="nil"/>
              <w:right w:val="nil"/>
            </w:tcBorders>
            <w:shd w:val="clear" w:color="auto" w:fill="auto"/>
            <w:noWrap/>
            <w:vAlign w:val="bottom"/>
            <w:hideMark/>
          </w:tcPr>
          <w:p w14:paraId="6303C266" w14:textId="77777777" w:rsidR="0012258E" w:rsidRPr="000D2CA3" w:rsidRDefault="0012258E" w:rsidP="00103F33">
            <w:pPr>
              <w:spacing w:after="60"/>
              <w:jc w:val="right"/>
              <w:rPr>
                <w:rFonts w:ascii="Garamond" w:hAnsi="Garamond"/>
                <w:color w:val="000000"/>
                <w:sz w:val="22"/>
                <w:szCs w:val="22"/>
              </w:rPr>
            </w:pPr>
          </w:p>
        </w:tc>
      </w:tr>
      <w:tr w:rsidR="0012258E" w:rsidRPr="000D2CA3" w14:paraId="6102DFB9" w14:textId="77777777" w:rsidTr="0012258E">
        <w:trPr>
          <w:trHeight w:val="300"/>
        </w:trPr>
        <w:tc>
          <w:tcPr>
            <w:tcW w:w="3840" w:type="dxa"/>
            <w:tcBorders>
              <w:top w:val="nil"/>
              <w:left w:val="nil"/>
              <w:bottom w:val="nil"/>
              <w:right w:val="nil"/>
            </w:tcBorders>
            <w:shd w:val="clear" w:color="auto" w:fill="auto"/>
            <w:noWrap/>
            <w:vAlign w:val="bottom"/>
            <w:hideMark/>
          </w:tcPr>
          <w:p w14:paraId="69101044"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Asset turnover (2015)</w:t>
            </w:r>
          </w:p>
        </w:tc>
        <w:tc>
          <w:tcPr>
            <w:tcW w:w="1300" w:type="dxa"/>
            <w:tcBorders>
              <w:top w:val="nil"/>
              <w:left w:val="nil"/>
              <w:bottom w:val="nil"/>
              <w:right w:val="nil"/>
            </w:tcBorders>
            <w:shd w:val="clear" w:color="auto" w:fill="auto"/>
            <w:noWrap/>
            <w:vAlign w:val="bottom"/>
            <w:hideMark/>
          </w:tcPr>
          <w:p w14:paraId="284D00C2" w14:textId="12050E6B"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1.5</w:t>
            </w:r>
          </w:p>
        </w:tc>
        <w:tc>
          <w:tcPr>
            <w:tcW w:w="1300" w:type="dxa"/>
            <w:tcBorders>
              <w:top w:val="nil"/>
              <w:left w:val="nil"/>
              <w:bottom w:val="nil"/>
              <w:right w:val="nil"/>
            </w:tcBorders>
            <w:shd w:val="clear" w:color="auto" w:fill="auto"/>
            <w:noWrap/>
            <w:vAlign w:val="bottom"/>
            <w:hideMark/>
          </w:tcPr>
          <w:p w14:paraId="2D22D637" w14:textId="42FF6A8E"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1.3</w:t>
            </w:r>
          </w:p>
        </w:tc>
        <w:tc>
          <w:tcPr>
            <w:tcW w:w="2220" w:type="dxa"/>
            <w:tcBorders>
              <w:top w:val="nil"/>
              <w:left w:val="nil"/>
              <w:bottom w:val="nil"/>
              <w:right w:val="nil"/>
            </w:tcBorders>
            <w:shd w:val="clear" w:color="auto" w:fill="auto"/>
            <w:noWrap/>
            <w:vAlign w:val="bottom"/>
            <w:hideMark/>
          </w:tcPr>
          <w:p w14:paraId="2C80B740" w14:textId="77777777" w:rsidR="0012258E" w:rsidRPr="000D2CA3" w:rsidRDefault="0012258E" w:rsidP="00103F33">
            <w:pPr>
              <w:spacing w:after="60"/>
              <w:jc w:val="right"/>
              <w:rPr>
                <w:rFonts w:ascii="Garamond" w:hAnsi="Garamond"/>
                <w:color w:val="000000"/>
                <w:sz w:val="22"/>
                <w:szCs w:val="22"/>
              </w:rPr>
            </w:pPr>
          </w:p>
        </w:tc>
      </w:tr>
      <w:tr w:rsidR="0012258E" w:rsidRPr="000D2CA3" w14:paraId="772A4ABB" w14:textId="77777777" w:rsidTr="0012258E">
        <w:trPr>
          <w:trHeight w:val="300"/>
        </w:trPr>
        <w:tc>
          <w:tcPr>
            <w:tcW w:w="3840" w:type="dxa"/>
            <w:tcBorders>
              <w:top w:val="nil"/>
              <w:left w:val="nil"/>
              <w:bottom w:val="nil"/>
              <w:right w:val="nil"/>
            </w:tcBorders>
            <w:shd w:val="clear" w:color="auto" w:fill="auto"/>
            <w:noWrap/>
            <w:vAlign w:val="bottom"/>
            <w:hideMark/>
          </w:tcPr>
          <w:p w14:paraId="464DB55E"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Return on assets (2015)</w:t>
            </w:r>
          </w:p>
        </w:tc>
        <w:tc>
          <w:tcPr>
            <w:tcW w:w="1300" w:type="dxa"/>
            <w:tcBorders>
              <w:top w:val="nil"/>
              <w:left w:val="nil"/>
              <w:bottom w:val="nil"/>
              <w:right w:val="nil"/>
            </w:tcBorders>
            <w:shd w:val="clear" w:color="auto" w:fill="auto"/>
            <w:noWrap/>
            <w:vAlign w:val="bottom"/>
            <w:hideMark/>
          </w:tcPr>
          <w:p w14:paraId="2E33A5F9"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14%</w:t>
            </w:r>
          </w:p>
        </w:tc>
        <w:tc>
          <w:tcPr>
            <w:tcW w:w="1300" w:type="dxa"/>
            <w:tcBorders>
              <w:top w:val="nil"/>
              <w:left w:val="nil"/>
              <w:bottom w:val="nil"/>
              <w:right w:val="nil"/>
            </w:tcBorders>
            <w:shd w:val="clear" w:color="auto" w:fill="auto"/>
            <w:noWrap/>
            <w:vAlign w:val="bottom"/>
            <w:hideMark/>
          </w:tcPr>
          <w:p w14:paraId="0E731E99"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3%</w:t>
            </w:r>
          </w:p>
        </w:tc>
        <w:tc>
          <w:tcPr>
            <w:tcW w:w="2220" w:type="dxa"/>
            <w:tcBorders>
              <w:top w:val="nil"/>
              <w:left w:val="nil"/>
              <w:bottom w:val="nil"/>
              <w:right w:val="nil"/>
            </w:tcBorders>
            <w:shd w:val="clear" w:color="auto" w:fill="auto"/>
            <w:noWrap/>
            <w:vAlign w:val="bottom"/>
            <w:hideMark/>
          </w:tcPr>
          <w:p w14:paraId="71697E97" w14:textId="77777777" w:rsidR="0012258E" w:rsidRPr="000D2CA3" w:rsidRDefault="0012258E" w:rsidP="00103F33">
            <w:pPr>
              <w:spacing w:after="60"/>
              <w:jc w:val="right"/>
              <w:rPr>
                <w:rFonts w:ascii="Garamond" w:hAnsi="Garamond"/>
                <w:color w:val="000000"/>
                <w:sz w:val="22"/>
                <w:szCs w:val="22"/>
              </w:rPr>
            </w:pPr>
          </w:p>
        </w:tc>
      </w:tr>
      <w:tr w:rsidR="0012258E" w:rsidRPr="000D2CA3" w14:paraId="516CBEE7" w14:textId="77777777" w:rsidTr="0012258E">
        <w:trPr>
          <w:trHeight w:val="300"/>
        </w:trPr>
        <w:tc>
          <w:tcPr>
            <w:tcW w:w="3840" w:type="dxa"/>
            <w:tcBorders>
              <w:top w:val="nil"/>
              <w:left w:val="nil"/>
              <w:bottom w:val="nil"/>
              <w:right w:val="nil"/>
            </w:tcBorders>
            <w:shd w:val="clear" w:color="auto" w:fill="auto"/>
            <w:noWrap/>
            <w:vAlign w:val="bottom"/>
            <w:hideMark/>
          </w:tcPr>
          <w:p w14:paraId="2C81ED15"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Return on equity (2015)</w:t>
            </w:r>
          </w:p>
        </w:tc>
        <w:tc>
          <w:tcPr>
            <w:tcW w:w="1300" w:type="dxa"/>
            <w:tcBorders>
              <w:top w:val="nil"/>
              <w:left w:val="nil"/>
              <w:bottom w:val="nil"/>
              <w:right w:val="nil"/>
            </w:tcBorders>
            <w:shd w:val="clear" w:color="auto" w:fill="auto"/>
            <w:noWrap/>
            <w:vAlign w:val="bottom"/>
            <w:hideMark/>
          </w:tcPr>
          <w:p w14:paraId="0F710FEE"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194%</w:t>
            </w:r>
          </w:p>
        </w:tc>
        <w:tc>
          <w:tcPr>
            <w:tcW w:w="1300" w:type="dxa"/>
            <w:tcBorders>
              <w:top w:val="nil"/>
              <w:left w:val="nil"/>
              <w:bottom w:val="nil"/>
              <w:right w:val="nil"/>
            </w:tcBorders>
            <w:shd w:val="clear" w:color="auto" w:fill="auto"/>
            <w:noWrap/>
            <w:vAlign w:val="bottom"/>
            <w:hideMark/>
          </w:tcPr>
          <w:p w14:paraId="7F7CD401"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7%</w:t>
            </w:r>
          </w:p>
        </w:tc>
        <w:tc>
          <w:tcPr>
            <w:tcW w:w="2220" w:type="dxa"/>
            <w:tcBorders>
              <w:top w:val="nil"/>
              <w:left w:val="nil"/>
              <w:bottom w:val="nil"/>
              <w:right w:val="nil"/>
            </w:tcBorders>
            <w:shd w:val="clear" w:color="auto" w:fill="auto"/>
            <w:noWrap/>
            <w:vAlign w:val="bottom"/>
            <w:hideMark/>
          </w:tcPr>
          <w:p w14:paraId="72DE338E" w14:textId="77777777" w:rsidR="0012258E" w:rsidRPr="000D2CA3" w:rsidRDefault="0012258E" w:rsidP="00103F33">
            <w:pPr>
              <w:spacing w:after="60"/>
              <w:jc w:val="right"/>
              <w:rPr>
                <w:rFonts w:ascii="Garamond" w:hAnsi="Garamond"/>
                <w:color w:val="000000"/>
                <w:sz w:val="22"/>
                <w:szCs w:val="22"/>
              </w:rPr>
            </w:pPr>
          </w:p>
        </w:tc>
      </w:tr>
      <w:tr w:rsidR="0012258E" w:rsidRPr="000D2CA3" w14:paraId="103138B9" w14:textId="77777777" w:rsidTr="0012258E">
        <w:trPr>
          <w:trHeight w:val="300"/>
        </w:trPr>
        <w:tc>
          <w:tcPr>
            <w:tcW w:w="3840" w:type="dxa"/>
            <w:tcBorders>
              <w:top w:val="nil"/>
              <w:left w:val="nil"/>
              <w:bottom w:val="nil"/>
              <w:right w:val="nil"/>
            </w:tcBorders>
            <w:shd w:val="clear" w:color="auto" w:fill="auto"/>
            <w:noWrap/>
            <w:vAlign w:val="bottom"/>
            <w:hideMark/>
          </w:tcPr>
          <w:p w14:paraId="53E4888C" w14:textId="77777777" w:rsidR="0012258E" w:rsidRPr="000D2CA3" w:rsidRDefault="0012258E" w:rsidP="00103F33">
            <w:pPr>
              <w:spacing w:after="60"/>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01573A88" w14:textId="77777777" w:rsidR="0012258E" w:rsidRPr="000D2CA3" w:rsidRDefault="0012258E" w:rsidP="00103F33">
            <w:pPr>
              <w:spacing w:after="60"/>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0A6D1474" w14:textId="77777777" w:rsidR="0012258E" w:rsidRPr="000D2CA3" w:rsidRDefault="0012258E" w:rsidP="00103F33">
            <w:pPr>
              <w:spacing w:after="60"/>
              <w:jc w:val="right"/>
              <w:rPr>
                <w:rFonts w:ascii="Garamond" w:hAnsi="Garamond"/>
                <w:sz w:val="22"/>
                <w:szCs w:val="22"/>
              </w:rPr>
            </w:pPr>
          </w:p>
        </w:tc>
        <w:tc>
          <w:tcPr>
            <w:tcW w:w="2220" w:type="dxa"/>
            <w:tcBorders>
              <w:top w:val="nil"/>
              <w:left w:val="nil"/>
              <w:bottom w:val="nil"/>
              <w:right w:val="nil"/>
            </w:tcBorders>
            <w:shd w:val="clear" w:color="auto" w:fill="auto"/>
            <w:noWrap/>
            <w:vAlign w:val="bottom"/>
            <w:hideMark/>
          </w:tcPr>
          <w:p w14:paraId="15B65D97" w14:textId="77777777" w:rsidR="0012258E" w:rsidRPr="000D2CA3" w:rsidRDefault="0012258E" w:rsidP="00103F33">
            <w:pPr>
              <w:spacing w:after="60"/>
              <w:jc w:val="right"/>
              <w:rPr>
                <w:rFonts w:ascii="Garamond" w:hAnsi="Garamond"/>
                <w:sz w:val="22"/>
                <w:szCs w:val="22"/>
              </w:rPr>
            </w:pPr>
          </w:p>
        </w:tc>
      </w:tr>
      <w:tr w:rsidR="0012258E" w:rsidRPr="000D2CA3" w14:paraId="064843F3" w14:textId="77777777" w:rsidTr="0012258E">
        <w:trPr>
          <w:trHeight w:val="300"/>
        </w:trPr>
        <w:tc>
          <w:tcPr>
            <w:tcW w:w="3840" w:type="dxa"/>
            <w:tcBorders>
              <w:top w:val="nil"/>
              <w:left w:val="nil"/>
              <w:bottom w:val="nil"/>
              <w:right w:val="nil"/>
            </w:tcBorders>
            <w:shd w:val="clear" w:color="auto" w:fill="auto"/>
            <w:noWrap/>
            <w:vAlign w:val="bottom"/>
            <w:hideMark/>
          </w:tcPr>
          <w:p w14:paraId="4B59B848"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Economic profit (2010 to 2015)</w:t>
            </w:r>
          </w:p>
        </w:tc>
        <w:tc>
          <w:tcPr>
            <w:tcW w:w="1300" w:type="dxa"/>
            <w:tcBorders>
              <w:top w:val="nil"/>
              <w:left w:val="nil"/>
              <w:bottom w:val="nil"/>
              <w:right w:val="nil"/>
            </w:tcBorders>
            <w:shd w:val="clear" w:color="auto" w:fill="auto"/>
            <w:noWrap/>
            <w:vAlign w:val="bottom"/>
            <w:hideMark/>
          </w:tcPr>
          <w:p w14:paraId="4BFF84A6"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$11,492</w:t>
            </w:r>
          </w:p>
        </w:tc>
        <w:tc>
          <w:tcPr>
            <w:tcW w:w="1300" w:type="dxa"/>
            <w:tcBorders>
              <w:top w:val="nil"/>
              <w:left w:val="nil"/>
              <w:bottom w:val="nil"/>
              <w:right w:val="nil"/>
            </w:tcBorders>
            <w:shd w:val="clear" w:color="auto" w:fill="auto"/>
            <w:noWrap/>
            <w:vAlign w:val="bottom"/>
            <w:hideMark/>
          </w:tcPr>
          <w:p w14:paraId="2490B869"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$1,671</w:t>
            </w:r>
          </w:p>
        </w:tc>
        <w:tc>
          <w:tcPr>
            <w:tcW w:w="2220" w:type="dxa"/>
            <w:tcBorders>
              <w:top w:val="nil"/>
              <w:left w:val="nil"/>
              <w:bottom w:val="nil"/>
              <w:right w:val="nil"/>
            </w:tcBorders>
            <w:shd w:val="clear" w:color="auto" w:fill="auto"/>
            <w:noWrap/>
            <w:vAlign w:val="bottom"/>
            <w:hideMark/>
          </w:tcPr>
          <w:p w14:paraId="5EFF6165" w14:textId="77777777" w:rsidR="0012258E" w:rsidRPr="000D2CA3" w:rsidRDefault="0012258E" w:rsidP="00103F33">
            <w:pPr>
              <w:spacing w:after="60"/>
              <w:jc w:val="right"/>
              <w:rPr>
                <w:rFonts w:ascii="Garamond" w:hAnsi="Garamond"/>
                <w:color w:val="000000"/>
                <w:sz w:val="22"/>
                <w:szCs w:val="22"/>
              </w:rPr>
            </w:pPr>
          </w:p>
        </w:tc>
      </w:tr>
      <w:tr w:rsidR="0012258E" w:rsidRPr="000D2CA3" w14:paraId="2A6F6C0F" w14:textId="77777777" w:rsidTr="0012258E">
        <w:trPr>
          <w:trHeight w:val="300"/>
        </w:trPr>
        <w:tc>
          <w:tcPr>
            <w:tcW w:w="3840" w:type="dxa"/>
            <w:tcBorders>
              <w:top w:val="nil"/>
              <w:left w:val="nil"/>
              <w:bottom w:val="nil"/>
              <w:right w:val="nil"/>
            </w:tcBorders>
            <w:shd w:val="clear" w:color="auto" w:fill="auto"/>
            <w:noWrap/>
            <w:vAlign w:val="bottom"/>
            <w:hideMark/>
          </w:tcPr>
          <w:p w14:paraId="1D63761B"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Price to earnings ratio (2015)</w:t>
            </w:r>
          </w:p>
        </w:tc>
        <w:tc>
          <w:tcPr>
            <w:tcW w:w="1300" w:type="dxa"/>
            <w:tcBorders>
              <w:top w:val="nil"/>
              <w:left w:val="nil"/>
              <w:bottom w:val="nil"/>
              <w:right w:val="nil"/>
            </w:tcBorders>
            <w:shd w:val="clear" w:color="auto" w:fill="auto"/>
            <w:noWrap/>
            <w:vAlign w:val="bottom"/>
            <w:hideMark/>
          </w:tcPr>
          <w:p w14:paraId="0BB69F76" w14:textId="3499F1F4"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22.0</w:t>
            </w:r>
          </w:p>
        </w:tc>
        <w:tc>
          <w:tcPr>
            <w:tcW w:w="1300" w:type="dxa"/>
            <w:tcBorders>
              <w:top w:val="nil"/>
              <w:left w:val="nil"/>
              <w:bottom w:val="nil"/>
              <w:right w:val="nil"/>
            </w:tcBorders>
            <w:shd w:val="clear" w:color="auto" w:fill="auto"/>
            <w:noWrap/>
            <w:vAlign w:val="bottom"/>
            <w:hideMark/>
          </w:tcPr>
          <w:p w14:paraId="78102770" w14:textId="5FB6EB4D"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37.9</w:t>
            </w:r>
          </w:p>
        </w:tc>
        <w:tc>
          <w:tcPr>
            <w:tcW w:w="2220" w:type="dxa"/>
            <w:tcBorders>
              <w:top w:val="nil"/>
              <w:left w:val="nil"/>
              <w:bottom w:val="nil"/>
              <w:right w:val="nil"/>
            </w:tcBorders>
            <w:shd w:val="clear" w:color="auto" w:fill="auto"/>
            <w:noWrap/>
            <w:vAlign w:val="bottom"/>
            <w:hideMark/>
          </w:tcPr>
          <w:p w14:paraId="1EC5EF06" w14:textId="77777777" w:rsidR="0012258E" w:rsidRPr="000D2CA3" w:rsidRDefault="0012258E" w:rsidP="00103F33">
            <w:pPr>
              <w:spacing w:after="60"/>
              <w:jc w:val="right"/>
              <w:rPr>
                <w:rFonts w:ascii="Garamond" w:hAnsi="Garamond"/>
                <w:color w:val="000000"/>
                <w:sz w:val="22"/>
                <w:szCs w:val="22"/>
              </w:rPr>
            </w:pPr>
          </w:p>
        </w:tc>
      </w:tr>
      <w:tr w:rsidR="0012258E" w:rsidRPr="000D2CA3" w14:paraId="394CD549" w14:textId="77777777" w:rsidTr="0012258E">
        <w:trPr>
          <w:trHeight w:val="300"/>
        </w:trPr>
        <w:tc>
          <w:tcPr>
            <w:tcW w:w="3840" w:type="dxa"/>
            <w:tcBorders>
              <w:top w:val="nil"/>
              <w:left w:val="nil"/>
              <w:bottom w:val="nil"/>
              <w:right w:val="nil"/>
            </w:tcBorders>
            <w:shd w:val="clear" w:color="auto" w:fill="auto"/>
            <w:noWrap/>
            <w:vAlign w:val="bottom"/>
            <w:hideMark/>
          </w:tcPr>
          <w:p w14:paraId="0F913BBE"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Cumulative annual return (2012 to 2015)</w:t>
            </w:r>
          </w:p>
        </w:tc>
        <w:tc>
          <w:tcPr>
            <w:tcW w:w="1300" w:type="dxa"/>
            <w:tcBorders>
              <w:top w:val="nil"/>
              <w:left w:val="nil"/>
              <w:bottom w:val="nil"/>
              <w:right w:val="nil"/>
            </w:tcBorders>
            <w:shd w:val="clear" w:color="auto" w:fill="auto"/>
            <w:noWrap/>
            <w:vAlign w:val="bottom"/>
            <w:hideMark/>
          </w:tcPr>
          <w:p w14:paraId="51AD95A7"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43%</w:t>
            </w:r>
          </w:p>
        </w:tc>
        <w:tc>
          <w:tcPr>
            <w:tcW w:w="1300" w:type="dxa"/>
            <w:tcBorders>
              <w:top w:val="nil"/>
              <w:left w:val="nil"/>
              <w:bottom w:val="nil"/>
              <w:right w:val="nil"/>
            </w:tcBorders>
            <w:shd w:val="clear" w:color="auto" w:fill="auto"/>
            <w:noWrap/>
            <w:vAlign w:val="bottom"/>
            <w:hideMark/>
          </w:tcPr>
          <w:p w14:paraId="0B531943"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65%</w:t>
            </w:r>
          </w:p>
        </w:tc>
        <w:tc>
          <w:tcPr>
            <w:tcW w:w="2220" w:type="dxa"/>
            <w:tcBorders>
              <w:top w:val="nil"/>
              <w:left w:val="nil"/>
              <w:bottom w:val="nil"/>
              <w:right w:val="nil"/>
            </w:tcBorders>
            <w:shd w:val="clear" w:color="auto" w:fill="auto"/>
            <w:noWrap/>
            <w:vAlign w:val="bottom"/>
            <w:hideMark/>
          </w:tcPr>
          <w:p w14:paraId="0DFCE0E8" w14:textId="77777777" w:rsidR="0012258E" w:rsidRPr="000D2CA3" w:rsidRDefault="0012258E" w:rsidP="00103F33">
            <w:pPr>
              <w:spacing w:after="60"/>
              <w:jc w:val="right"/>
              <w:rPr>
                <w:rFonts w:ascii="Garamond" w:hAnsi="Garamond"/>
                <w:color w:val="000000"/>
                <w:sz w:val="22"/>
                <w:szCs w:val="22"/>
              </w:rPr>
            </w:pPr>
          </w:p>
        </w:tc>
      </w:tr>
      <w:tr w:rsidR="0012258E" w:rsidRPr="000D2CA3" w14:paraId="6A9F8BD7" w14:textId="77777777" w:rsidTr="0012258E">
        <w:trPr>
          <w:trHeight w:val="300"/>
        </w:trPr>
        <w:tc>
          <w:tcPr>
            <w:tcW w:w="3840" w:type="dxa"/>
            <w:tcBorders>
              <w:top w:val="nil"/>
              <w:left w:val="nil"/>
              <w:bottom w:val="nil"/>
              <w:right w:val="nil"/>
            </w:tcBorders>
            <w:shd w:val="clear" w:color="auto" w:fill="auto"/>
            <w:noWrap/>
            <w:vAlign w:val="bottom"/>
            <w:hideMark/>
          </w:tcPr>
          <w:p w14:paraId="539F236A" w14:textId="77777777" w:rsidR="0012258E" w:rsidRPr="000D2CA3" w:rsidRDefault="0012258E" w:rsidP="00103F33">
            <w:pPr>
              <w:spacing w:after="60"/>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1B1E87CE" w14:textId="77777777" w:rsidR="0012258E" w:rsidRPr="000D2CA3" w:rsidRDefault="0012258E" w:rsidP="00103F33">
            <w:pPr>
              <w:spacing w:after="60"/>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7D4CABB2" w14:textId="77777777" w:rsidR="0012258E" w:rsidRPr="000D2CA3" w:rsidRDefault="0012258E" w:rsidP="00103F33">
            <w:pPr>
              <w:spacing w:after="60"/>
              <w:jc w:val="right"/>
              <w:rPr>
                <w:rFonts w:ascii="Garamond" w:hAnsi="Garamond"/>
                <w:sz w:val="22"/>
                <w:szCs w:val="22"/>
              </w:rPr>
            </w:pPr>
          </w:p>
        </w:tc>
        <w:tc>
          <w:tcPr>
            <w:tcW w:w="2220" w:type="dxa"/>
            <w:tcBorders>
              <w:top w:val="nil"/>
              <w:left w:val="nil"/>
              <w:bottom w:val="nil"/>
              <w:right w:val="nil"/>
            </w:tcBorders>
            <w:shd w:val="clear" w:color="auto" w:fill="auto"/>
            <w:noWrap/>
            <w:vAlign w:val="bottom"/>
            <w:hideMark/>
          </w:tcPr>
          <w:p w14:paraId="0163BEE8" w14:textId="77777777" w:rsidR="0012258E" w:rsidRPr="000D2CA3" w:rsidRDefault="0012258E" w:rsidP="00103F33">
            <w:pPr>
              <w:spacing w:after="60"/>
              <w:jc w:val="right"/>
              <w:rPr>
                <w:rFonts w:ascii="Garamond" w:hAnsi="Garamond"/>
                <w:sz w:val="22"/>
                <w:szCs w:val="22"/>
              </w:rPr>
            </w:pPr>
          </w:p>
        </w:tc>
      </w:tr>
      <w:tr w:rsidR="0012258E" w:rsidRPr="000D2CA3" w14:paraId="12EEEB0B" w14:textId="77777777" w:rsidTr="0012258E">
        <w:trPr>
          <w:trHeight w:val="300"/>
        </w:trPr>
        <w:tc>
          <w:tcPr>
            <w:tcW w:w="3840" w:type="dxa"/>
            <w:tcBorders>
              <w:top w:val="nil"/>
              <w:left w:val="nil"/>
              <w:bottom w:val="nil"/>
              <w:right w:val="nil"/>
            </w:tcBorders>
            <w:shd w:val="clear" w:color="auto" w:fill="auto"/>
            <w:noWrap/>
            <w:vAlign w:val="bottom"/>
            <w:hideMark/>
          </w:tcPr>
          <w:p w14:paraId="05C4B4D7" w14:textId="77777777" w:rsidR="0012258E" w:rsidRPr="000D2CA3" w:rsidRDefault="0012258E" w:rsidP="00103F33">
            <w:pPr>
              <w:spacing w:after="60"/>
              <w:rPr>
                <w:rFonts w:ascii="Garamond" w:hAnsi="Garamond"/>
                <w:b/>
                <w:bCs/>
                <w:color w:val="000000"/>
                <w:sz w:val="22"/>
                <w:szCs w:val="22"/>
              </w:rPr>
            </w:pPr>
            <w:r w:rsidRPr="000D2CA3">
              <w:rPr>
                <w:rFonts w:ascii="Garamond" w:hAnsi="Garamond"/>
                <w:b/>
                <w:bCs/>
                <w:color w:val="000000"/>
                <w:sz w:val="22"/>
                <w:szCs w:val="22"/>
              </w:rPr>
              <w:t>Operating measures</w:t>
            </w:r>
          </w:p>
        </w:tc>
        <w:tc>
          <w:tcPr>
            <w:tcW w:w="1300" w:type="dxa"/>
            <w:tcBorders>
              <w:top w:val="nil"/>
              <w:left w:val="nil"/>
              <w:bottom w:val="nil"/>
              <w:right w:val="nil"/>
            </w:tcBorders>
            <w:shd w:val="clear" w:color="auto" w:fill="auto"/>
            <w:noWrap/>
            <w:vAlign w:val="bottom"/>
            <w:hideMark/>
          </w:tcPr>
          <w:p w14:paraId="665A531A" w14:textId="77777777" w:rsidR="0012258E" w:rsidRPr="000D2CA3" w:rsidRDefault="0012258E" w:rsidP="00103F33">
            <w:pPr>
              <w:spacing w:after="60"/>
              <w:rPr>
                <w:rFonts w:ascii="Garamond" w:hAnsi="Garamond"/>
                <w:b/>
                <w:bCs/>
                <w:color w:val="000000"/>
                <w:sz w:val="22"/>
                <w:szCs w:val="22"/>
              </w:rPr>
            </w:pPr>
          </w:p>
        </w:tc>
        <w:tc>
          <w:tcPr>
            <w:tcW w:w="1300" w:type="dxa"/>
            <w:tcBorders>
              <w:top w:val="nil"/>
              <w:left w:val="nil"/>
              <w:bottom w:val="nil"/>
              <w:right w:val="nil"/>
            </w:tcBorders>
            <w:shd w:val="clear" w:color="auto" w:fill="auto"/>
            <w:noWrap/>
            <w:vAlign w:val="bottom"/>
            <w:hideMark/>
          </w:tcPr>
          <w:p w14:paraId="3232F2B9" w14:textId="77777777" w:rsidR="0012258E" w:rsidRPr="000D2CA3" w:rsidRDefault="0012258E" w:rsidP="00103F33">
            <w:pPr>
              <w:spacing w:after="60"/>
              <w:jc w:val="right"/>
              <w:rPr>
                <w:rFonts w:ascii="Garamond" w:hAnsi="Garamond"/>
                <w:sz w:val="22"/>
                <w:szCs w:val="22"/>
              </w:rPr>
            </w:pPr>
          </w:p>
        </w:tc>
        <w:tc>
          <w:tcPr>
            <w:tcW w:w="2220" w:type="dxa"/>
            <w:tcBorders>
              <w:top w:val="nil"/>
              <w:left w:val="nil"/>
              <w:bottom w:val="nil"/>
              <w:right w:val="nil"/>
            </w:tcBorders>
            <w:shd w:val="clear" w:color="auto" w:fill="auto"/>
            <w:noWrap/>
            <w:vAlign w:val="bottom"/>
            <w:hideMark/>
          </w:tcPr>
          <w:p w14:paraId="67967AB9" w14:textId="77777777" w:rsidR="0012258E" w:rsidRPr="000D2CA3" w:rsidRDefault="0012258E" w:rsidP="00103F33">
            <w:pPr>
              <w:spacing w:after="60"/>
              <w:jc w:val="right"/>
              <w:rPr>
                <w:rFonts w:ascii="Garamond" w:hAnsi="Garamond"/>
                <w:sz w:val="22"/>
                <w:szCs w:val="22"/>
              </w:rPr>
            </w:pPr>
          </w:p>
        </w:tc>
      </w:tr>
      <w:tr w:rsidR="0012258E" w:rsidRPr="000D2CA3" w14:paraId="1D1E2386" w14:textId="77777777" w:rsidTr="0012258E">
        <w:trPr>
          <w:trHeight w:val="300"/>
        </w:trPr>
        <w:tc>
          <w:tcPr>
            <w:tcW w:w="3840" w:type="dxa"/>
            <w:tcBorders>
              <w:top w:val="nil"/>
              <w:left w:val="nil"/>
              <w:bottom w:val="nil"/>
              <w:right w:val="nil"/>
            </w:tcBorders>
            <w:shd w:val="clear" w:color="auto" w:fill="auto"/>
            <w:noWrap/>
            <w:vAlign w:val="bottom"/>
            <w:hideMark/>
          </w:tcPr>
          <w:p w14:paraId="72BBC4AF" w14:textId="3F2794F3"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 xml:space="preserve">2015 </w:t>
            </w:r>
            <w:r w:rsidR="00540D9C" w:rsidRPr="000D2CA3">
              <w:rPr>
                <w:rFonts w:ascii="Garamond" w:hAnsi="Garamond"/>
                <w:color w:val="000000"/>
                <w:sz w:val="22"/>
                <w:szCs w:val="22"/>
              </w:rPr>
              <w:t>d</w:t>
            </w:r>
            <w:r w:rsidRPr="000D2CA3">
              <w:rPr>
                <w:rFonts w:ascii="Garamond" w:hAnsi="Garamond"/>
                <w:color w:val="000000"/>
                <w:sz w:val="22"/>
                <w:szCs w:val="22"/>
              </w:rPr>
              <w:t>aily packages delivered (millions)</w:t>
            </w:r>
          </w:p>
        </w:tc>
        <w:tc>
          <w:tcPr>
            <w:tcW w:w="1300" w:type="dxa"/>
            <w:tcBorders>
              <w:top w:val="nil"/>
              <w:left w:val="nil"/>
              <w:bottom w:val="nil"/>
              <w:right w:val="nil"/>
            </w:tcBorders>
            <w:shd w:val="clear" w:color="auto" w:fill="auto"/>
            <w:noWrap/>
            <w:vAlign w:val="bottom"/>
            <w:hideMark/>
          </w:tcPr>
          <w:p w14:paraId="2875568D"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18</w:t>
            </w:r>
          </w:p>
        </w:tc>
        <w:tc>
          <w:tcPr>
            <w:tcW w:w="1300" w:type="dxa"/>
            <w:tcBorders>
              <w:top w:val="nil"/>
              <w:left w:val="nil"/>
              <w:bottom w:val="nil"/>
              <w:right w:val="nil"/>
            </w:tcBorders>
            <w:shd w:val="clear" w:color="auto" w:fill="auto"/>
            <w:noWrap/>
            <w:vAlign w:val="bottom"/>
            <w:hideMark/>
          </w:tcPr>
          <w:p w14:paraId="38862522"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11</w:t>
            </w:r>
          </w:p>
        </w:tc>
        <w:tc>
          <w:tcPr>
            <w:tcW w:w="2220" w:type="dxa"/>
            <w:tcBorders>
              <w:top w:val="nil"/>
              <w:left w:val="nil"/>
              <w:bottom w:val="nil"/>
              <w:right w:val="nil"/>
            </w:tcBorders>
            <w:shd w:val="clear" w:color="auto" w:fill="auto"/>
            <w:noWrap/>
            <w:vAlign w:val="bottom"/>
            <w:hideMark/>
          </w:tcPr>
          <w:p w14:paraId="0D4B4EE3" w14:textId="77777777" w:rsidR="0012258E" w:rsidRPr="000D2CA3" w:rsidRDefault="0012258E" w:rsidP="00103F33">
            <w:pPr>
              <w:spacing w:after="60"/>
              <w:jc w:val="right"/>
              <w:rPr>
                <w:rFonts w:ascii="Garamond" w:hAnsi="Garamond"/>
                <w:color w:val="000000"/>
                <w:sz w:val="22"/>
                <w:szCs w:val="22"/>
              </w:rPr>
            </w:pPr>
          </w:p>
        </w:tc>
      </w:tr>
      <w:tr w:rsidR="0012258E" w:rsidRPr="000D2CA3" w14:paraId="02451E2D" w14:textId="77777777" w:rsidTr="0012258E">
        <w:trPr>
          <w:trHeight w:val="300"/>
        </w:trPr>
        <w:tc>
          <w:tcPr>
            <w:tcW w:w="3840" w:type="dxa"/>
            <w:tcBorders>
              <w:top w:val="nil"/>
              <w:left w:val="nil"/>
              <w:bottom w:val="nil"/>
              <w:right w:val="nil"/>
            </w:tcBorders>
            <w:shd w:val="clear" w:color="auto" w:fill="auto"/>
            <w:noWrap/>
            <w:vAlign w:val="bottom"/>
            <w:hideMark/>
          </w:tcPr>
          <w:p w14:paraId="284582FB" w14:textId="3C73D1F1"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Employees (</w:t>
            </w:r>
            <w:r w:rsidR="00540D9C" w:rsidRPr="000D2CA3">
              <w:rPr>
                <w:rFonts w:ascii="Garamond" w:hAnsi="Garamond"/>
                <w:color w:val="000000"/>
                <w:sz w:val="22"/>
                <w:szCs w:val="22"/>
              </w:rPr>
              <w:t>thousands</w:t>
            </w:r>
            <w:r w:rsidRPr="000D2CA3">
              <w:rPr>
                <w:rFonts w:ascii="Garamond" w:hAnsi="Garamond"/>
                <w:color w:val="000000"/>
                <w:sz w:val="22"/>
                <w:szCs w:val="22"/>
              </w:rPr>
              <w:t>)</w:t>
            </w:r>
          </w:p>
        </w:tc>
        <w:tc>
          <w:tcPr>
            <w:tcW w:w="1300" w:type="dxa"/>
            <w:tcBorders>
              <w:top w:val="nil"/>
              <w:left w:val="nil"/>
              <w:bottom w:val="nil"/>
              <w:right w:val="nil"/>
            </w:tcBorders>
            <w:shd w:val="clear" w:color="auto" w:fill="auto"/>
            <w:noWrap/>
            <w:vAlign w:val="bottom"/>
            <w:hideMark/>
          </w:tcPr>
          <w:p w14:paraId="0DBE8C9C"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440</w:t>
            </w:r>
          </w:p>
        </w:tc>
        <w:tc>
          <w:tcPr>
            <w:tcW w:w="1300" w:type="dxa"/>
            <w:tcBorders>
              <w:top w:val="nil"/>
              <w:left w:val="nil"/>
              <w:bottom w:val="nil"/>
              <w:right w:val="nil"/>
            </w:tcBorders>
            <w:shd w:val="clear" w:color="auto" w:fill="auto"/>
            <w:noWrap/>
            <w:vAlign w:val="bottom"/>
            <w:hideMark/>
          </w:tcPr>
          <w:p w14:paraId="622503B4"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325</w:t>
            </w:r>
          </w:p>
        </w:tc>
        <w:tc>
          <w:tcPr>
            <w:tcW w:w="2220" w:type="dxa"/>
            <w:tcBorders>
              <w:top w:val="nil"/>
              <w:left w:val="nil"/>
              <w:bottom w:val="nil"/>
              <w:right w:val="nil"/>
            </w:tcBorders>
            <w:shd w:val="clear" w:color="auto" w:fill="auto"/>
            <w:noWrap/>
            <w:vAlign w:val="bottom"/>
            <w:hideMark/>
          </w:tcPr>
          <w:p w14:paraId="410BF1B9" w14:textId="77777777" w:rsidR="0012258E" w:rsidRPr="000D2CA3" w:rsidRDefault="0012258E" w:rsidP="00103F33">
            <w:pPr>
              <w:spacing w:after="60"/>
              <w:jc w:val="right"/>
              <w:rPr>
                <w:rFonts w:ascii="Garamond" w:hAnsi="Garamond"/>
                <w:color w:val="000000"/>
                <w:sz w:val="22"/>
                <w:szCs w:val="22"/>
              </w:rPr>
            </w:pPr>
          </w:p>
        </w:tc>
      </w:tr>
      <w:tr w:rsidR="0012258E" w:rsidRPr="000D2CA3" w14:paraId="3B7FE3E3" w14:textId="77777777" w:rsidTr="0012258E">
        <w:trPr>
          <w:trHeight w:val="300"/>
        </w:trPr>
        <w:tc>
          <w:tcPr>
            <w:tcW w:w="3840" w:type="dxa"/>
            <w:tcBorders>
              <w:top w:val="nil"/>
              <w:left w:val="nil"/>
              <w:bottom w:val="nil"/>
              <w:right w:val="nil"/>
            </w:tcBorders>
            <w:shd w:val="clear" w:color="auto" w:fill="auto"/>
            <w:noWrap/>
            <w:vAlign w:val="bottom"/>
            <w:hideMark/>
          </w:tcPr>
          <w:p w14:paraId="30A36144"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Jets</w:t>
            </w:r>
          </w:p>
        </w:tc>
        <w:tc>
          <w:tcPr>
            <w:tcW w:w="1300" w:type="dxa"/>
            <w:tcBorders>
              <w:top w:val="nil"/>
              <w:left w:val="nil"/>
              <w:bottom w:val="nil"/>
              <w:right w:val="nil"/>
            </w:tcBorders>
            <w:shd w:val="clear" w:color="auto" w:fill="auto"/>
            <w:noWrap/>
            <w:vAlign w:val="bottom"/>
            <w:hideMark/>
          </w:tcPr>
          <w:p w14:paraId="06D73B09"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650</w:t>
            </w:r>
          </w:p>
        </w:tc>
        <w:tc>
          <w:tcPr>
            <w:tcW w:w="1300" w:type="dxa"/>
            <w:tcBorders>
              <w:top w:val="nil"/>
              <w:left w:val="nil"/>
              <w:bottom w:val="nil"/>
              <w:right w:val="nil"/>
            </w:tcBorders>
            <w:shd w:val="clear" w:color="auto" w:fill="auto"/>
            <w:noWrap/>
            <w:vAlign w:val="bottom"/>
            <w:hideMark/>
          </w:tcPr>
          <w:p w14:paraId="0A007DC6"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647</w:t>
            </w:r>
          </w:p>
        </w:tc>
        <w:tc>
          <w:tcPr>
            <w:tcW w:w="2220" w:type="dxa"/>
            <w:tcBorders>
              <w:top w:val="nil"/>
              <w:left w:val="nil"/>
              <w:bottom w:val="nil"/>
              <w:right w:val="nil"/>
            </w:tcBorders>
            <w:shd w:val="clear" w:color="auto" w:fill="auto"/>
            <w:noWrap/>
            <w:vAlign w:val="bottom"/>
            <w:hideMark/>
          </w:tcPr>
          <w:p w14:paraId="4FE5BC91" w14:textId="77777777" w:rsidR="0012258E" w:rsidRPr="000D2CA3" w:rsidRDefault="0012258E" w:rsidP="00103F33">
            <w:pPr>
              <w:spacing w:after="60"/>
              <w:jc w:val="right"/>
              <w:rPr>
                <w:rFonts w:ascii="Garamond" w:hAnsi="Garamond"/>
                <w:color w:val="000000"/>
                <w:sz w:val="22"/>
                <w:szCs w:val="22"/>
              </w:rPr>
            </w:pPr>
          </w:p>
        </w:tc>
      </w:tr>
      <w:tr w:rsidR="0012258E" w:rsidRPr="000D2CA3" w14:paraId="335461DF" w14:textId="77777777" w:rsidTr="0012258E">
        <w:trPr>
          <w:trHeight w:val="300"/>
        </w:trPr>
        <w:tc>
          <w:tcPr>
            <w:tcW w:w="3840" w:type="dxa"/>
            <w:tcBorders>
              <w:top w:val="nil"/>
              <w:left w:val="nil"/>
              <w:bottom w:val="nil"/>
              <w:right w:val="nil"/>
            </w:tcBorders>
            <w:shd w:val="clear" w:color="auto" w:fill="auto"/>
            <w:noWrap/>
            <w:vAlign w:val="bottom"/>
            <w:hideMark/>
          </w:tcPr>
          <w:p w14:paraId="345653CE"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Brand rank</w:t>
            </w:r>
          </w:p>
        </w:tc>
        <w:tc>
          <w:tcPr>
            <w:tcW w:w="1300" w:type="dxa"/>
            <w:tcBorders>
              <w:top w:val="nil"/>
              <w:left w:val="nil"/>
              <w:bottom w:val="nil"/>
              <w:right w:val="nil"/>
            </w:tcBorders>
            <w:shd w:val="clear" w:color="auto" w:fill="auto"/>
            <w:noWrap/>
            <w:vAlign w:val="bottom"/>
            <w:hideMark/>
          </w:tcPr>
          <w:p w14:paraId="6ED9E597"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#29</w:t>
            </w:r>
          </w:p>
        </w:tc>
        <w:tc>
          <w:tcPr>
            <w:tcW w:w="1300" w:type="dxa"/>
            <w:tcBorders>
              <w:top w:val="nil"/>
              <w:left w:val="nil"/>
              <w:bottom w:val="nil"/>
              <w:right w:val="nil"/>
            </w:tcBorders>
            <w:shd w:val="clear" w:color="auto" w:fill="auto"/>
            <w:noWrap/>
            <w:vAlign w:val="bottom"/>
            <w:hideMark/>
          </w:tcPr>
          <w:p w14:paraId="3849D74E"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#86</w:t>
            </w:r>
          </w:p>
        </w:tc>
        <w:tc>
          <w:tcPr>
            <w:tcW w:w="2220" w:type="dxa"/>
            <w:tcBorders>
              <w:top w:val="nil"/>
              <w:left w:val="nil"/>
              <w:bottom w:val="nil"/>
              <w:right w:val="nil"/>
            </w:tcBorders>
            <w:shd w:val="clear" w:color="auto" w:fill="auto"/>
            <w:noWrap/>
            <w:vAlign w:val="bottom"/>
            <w:hideMark/>
          </w:tcPr>
          <w:p w14:paraId="03D59226" w14:textId="77777777" w:rsidR="0012258E" w:rsidRPr="000D2CA3" w:rsidRDefault="0012258E" w:rsidP="00103F33">
            <w:pPr>
              <w:spacing w:after="60"/>
              <w:jc w:val="right"/>
              <w:rPr>
                <w:rFonts w:ascii="Garamond" w:hAnsi="Garamond"/>
                <w:color w:val="000000"/>
                <w:sz w:val="22"/>
                <w:szCs w:val="22"/>
              </w:rPr>
            </w:pPr>
          </w:p>
        </w:tc>
      </w:tr>
      <w:tr w:rsidR="0012258E" w:rsidRPr="000D2CA3" w14:paraId="2FAF1269" w14:textId="77777777" w:rsidTr="0012258E">
        <w:trPr>
          <w:trHeight w:val="300"/>
        </w:trPr>
        <w:tc>
          <w:tcPr>
            <w:tcW w:w="3840" w:type="dxa"/>
            <w:tcBorders>
              <w:top w:val="nil"/>
              <w:left w:val="nil"/>
              <w:bottom w:val="nil"/>
              <w:right w:val="nil"/>
            </w:tcBorders>
            <w:shd w:val="clear" w:color="auto" w:fill="auto"/>
            <w:noWrap/>
            <w:vAlign w:val="bottom"/>
            <w:hideMark/>
          </w:tcPr>
          <w:p w14:paraId="473B65FA"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Employee satisfaction</w:t>
            </w:r>
          </w:p>
        </w:tc>
        <w:tc>
          <w:tcPr>
            <w:tcW w:w="1300" w:type="dxa"/>
            <w:tcBorders>
              <w:top w:val="nil"/>
              <w:left w:val="nil"/>
              <w:bottom w:val="nil"/>
              <w:right w:val="nil"/>
            </w:tcBorders>
            <w:shd w:val="clear" w:color="auto" w:fill="auto"/>
            <w:noWrap/>
            <w:vAlign w:val="bottom"/>
            <w:hideMark/>
          </w:tcPr>
          <w:p w14:paraId="4CC409FA"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#24</w:t>
            </w:r>
          </w:p>
        </w:tc>
        <w:tc>
          <w:tcPr>
            <w:tcW w:w="1300" w:type="dxa"/>
            <w:tcBorders>
              <w:top w:val="nil"/>
              <w:left w:val="nil"/>
              <w:bottom w:val="nil"/>
              <w:right w:val="nil"/>
            </w:tcBorders>
            <w:shd w:val="clear" w:color="auto" w:fill="auto"/>
            <w:noWrap/>
            <w:vAlign w:val="bottom"/>
            <w:hideMark/>
          </w:tcPr>
          <w:p w14:paraId="17BF93B7"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#12</w:t>
            </w:r>
          </w:p>
        </w:tc>
        <w:tc>
          <w:tcPr>
            <w:tcW w:w="2220" w:type="dxa"/>
            <w:tcBorders>
              <w:top w:val="nil"/>
              <w:left w:val="nil"/>
              <w:bottom w:val="nil"/>
              <w:right w:val="nil"/>
            </w:tcBorders>
            <w:shd w:val="clear" w:color="auto" w:fill="auto"/>
            <w:noWrap/>
            <w:vAlign w:val="bottom"/>
            <w:hideMark/>
          </w:tcPr>
          <w:p w14:paraId="2B92896E" w14:textId="77777777" w:rsidR="0012258E" w:rsidRPr="000D2CA3" w:rsidRDefault="0012258E" w:rsidP="00103F33">
            <w:pPr>
              <w:spacing w:after="60"/>
              <w:jc w:val="right"/>
              <w:rPr>
                <w:rFonts w:ascii="Garamond" w:hAnsi="Garamond"/>
                <w:color w:val="000000"/>
                <w:sz w:val="22"/>
                <w:szCs w:val="22"/>
              </w:rPr>
            </w:pPr>
          </w:p>
        </w:tc>
      </w:tr>
      <w:tr w:rsidR="0012258E" w:rsidRPr="000D2CA3" w14:paraId="13D371BD" w14:textId="77777777" w:rsidTr="0012258E">
        <w:trPr>
          <w:trHeight w:val="300"/>
        </w:trPr>
        <w:tc>
          <w:tcPr>
            <w:tcW w:w="3840" w:type="dxa"/>
            <w:tcBorders>
              <w:top w:val="nil"/>
              <w:left w:val="nil"/>
              <w:bottom w:val="nil"/>
              <w:right w:val="nil"/>
            </w:tcBorders>
            <w:shd w:val="clear" w:color="auto" w:fill="auto"/>
            <w:noWrap/>
            <w:vAlign w:val="bottom"/>
            <w:hideMark/>
          </w:tcPr>
          <w:p w14:paraId="6A620AA0" w14:textId="77777777" w:rsidR="0012258E" w:rsidRPr="000D2CA3" w:rsidRDefault="0012258E" w:rsidP="00103F33">
            <w:pPr>
              <w:spacing w:after="60"/>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4E3E9D13" w14:textId="77777777" w:rsidR="0012258E" w:rsidRPr="000D2CA3" w:rsidRDefault="0012258E" w:rsidP="00103F33">
            <w:pPr>
              <w:spacing w:after="60"/>
              <w:rPr>
                <w:rFonts w:ascii="Garamond" w:hAnsi="Garamond"/>
                <w:sz w:val="22"/>
                <w:szCs w:val="22"/>
              </w:rPr>
            </w:pPr>
          </w:p>
        </w:tc>
        <w:tc>
          <w:tcPr>
            <w:tcW w:w="3520" w:type="dxa"/>
            <w:gridSpan w:val="2"/>
            <w:tcBorders>
              <w:top w:val="nil"/>
              <w:left w:val="nil"/>
              <w:bottom w:val="nil"/>
              <w:right w:val="nil"/>
            </w:tcBorders>
            <w:shd w:val="clear" w:color="auto" w:fill="auto"/>
            <w:noWrap/>
            <w:vAlign w:val="bottom"/>
            <w:hideMark/>
          </w:tcPr>
          <w:p w14:paraId="531CD2E5"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 xml:space="preserve">      *Great place to work award</w:t>
            </w:r>
          </w:p>
        </w:tc>
      </w:tr>
      <w:tr w:rsidR="0012258E" w:rsidRPr="000D2CA3" w14:paraId="23EDAD88" w14:textId="77777777" w:rsidTr="0012258E">
        <w:trPr>
          <w:trHeight w:val="300"/>
        </w:trPr>
        <w:tc>
          <w:tcPr>
            <w:tcW w:w="3840" w:type="dxa"/>
            <w:tcBorders>
              <w:top w:val="nil"/>
              <w:left w:val="nil"/>
              <w:bottom w:val="nil"/>
              <w:right w:val="nil"/>
            </w:tcBorders>
            <w:shd w:val="clear" w:color="auto" w:fill="auto"/>
            <w:noWrap/>
            <w:vAlign w:val="bottom"/>
            <w:hideMark/>
          </w:tcPr>
          <w:p w14:paraId="31BF0B45" w14:textId="77777777" w:rsidR="0012258E" w:rsidRPr="000D2CA3" w:rsidRDefault="0012258E" w:rsidP="00103F33">
            <w:pPr>
              <w:spacing w:after="60"/>
              <w:rPr>
                <w:rFonts w:ascii="Garamond" w:hAnsi="Garamond"/>
                <w:color w:val="000000"/>
                <w:sz w:val="22"/>
                <w:szCs w:val="22"/>
              </w:rPr>
            </w:pPr>
            <w:r w:rsidRPr="000D2CA3">
              <w:rPr>
                <w:rFonts w:ascii="Garamond" w:hAnsi="Garamond"/>
                <w:color w:val="000000"/>
                <w:sz w:val="22"/>
                <w:szCs w:val="22"/>
              </w:rPr>
              <w:t>Customer satisfaction score</w:t>
            </w:r>
          </w:p>
        </w:tc>
        <w:tc>
          <w:tcPr>
            <w:tcW w:w="1300" w:type="dxa"/>
            <w:tcBorders>
              <w:top w:val="nil"/>
              <w:left w:val="nil"/>
              <w:bottom w:val="nil"/>
              <w:right w:val="nil"/>
            </w:tcBorders>
            <w:shd w:val="clear" w:color="auto" w:fill="auto"/>
            <w:noWrap/>
            <w:vAlign w:val="bottom"/>
            <w:hideMark/>
          </w:tcPr>
          <w:p w14:paraId="092024F8"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82</w:t>
            </w:r>
          </w:p>
        </w:tc>
        <w:tc>
          <w:tcPr>
            <w:tcW w:w="1300" w:type="dxa"/>
            <w:tcBorders>
              <w:top w:val="nil"/>
              <w:left w:val="nil"/>
              <w:bottom w:val="nil"/>
              <w:right w:val="nil"/>
            </w:tcBorders>
            <w:shd w:val="clear" w:color="auto" w:fill="auto"/>
            <w:noWrap/>
            <w:vAlign w:val="bottom"/>
            <w:hideMark/>
          </w:tcPr>
          <w:p w14:paraId="3136FBD6" w14:textId="77777777" w:rsidR="0012258E" w:rsidRPr="000D2CA3" w:rsidRDefault="0012258E" w:rsidP="00103F33">
            <w:pPr>
              <w:spacing w:after="60"/>
              <w:jc w:val="right"/>
              <w:rPr>
                <w:rFonts w:ascii="Garamond" w:hAnsi="Garamond"/>
                <w:color w:val="000000"/>
                <w:sz w:val="22"/>
                <w:szCs w:val="22"/>
              </w:rPr>
            </w:pPr>
            <w:r w:rsidRPr="000D2CA3">
              <w:rPr>
                <w:rFonts w:ascii="Garamond" w:hAnsi="Garamond"/>
                <w:color w:val="000000"/>
                <w:sz w:val="22"/>
                <w:szCs w:val="22"/>
              </w:rPr>
              <w:t>82</w:t>
            </w:r>
          </w:p>
        </w:tc>
        <w:tc>
          <w:tcPr>
            <w:tcW w:w="2220" w:type="dxa"/>
            <w:tcBorders>
              <w:top w:val="nil"/>
              <w:left w:val="nil"/>
              <w:bottom w:val="nil"/>
              <w:right w:val="nil"/>
            </w:tcBorders>
            <w:shd w:val="clear" w:color="auto" w:fill="auto"/>
            <w:noWrap/>
            <w:vAlign w:val="bottom"/>
            <w:hideMark/>
          </w:tcPr>
          <w:p w14:paraId="25680DFF" w14:textId="77777777" w:rsidR="0012258E" w:rsidRPr="000D2CA3" w:rsidRDefault="0012258E" w:rsidP="00103F33">
            <w:pPr>
              <w:spacing w:after="60"/>
              <w:jc w:val="right"/>
              <w:rPr>
                <w:rFonts w:ascii="Garamond" w:hAnsi="Garamond"/>
                <w:color w:val="000000"/>
                <w:sz w:val="22"/>
                <w:szCs w:val="22"/>
              </w:rPr>
            </w:pPr>
          </w:p>
        </w:tc>
      </w:tr>
    </w:tbl>
    <w:p w14:paraId="0A1942BD" w14:textId="77777777" w:rsidR="00D110B0" w:rsidRPr="000D2CA3" w:rsidRDefault="0012258E" w:rsidP="00103F33">
      <w:pPr>
        <w:pStyle w:val="CaseSource"/>
        <w:spacing w:before="240"/>
        <w:ind w:left="720"/>
      </w:pPr>
      <w:r w:rsidRPr="000D2CA3">
        <w:t>Source: Author analysis.</w:t>
      </w:r>
    </w:p>
    <w:p w14:paraId="4AC45959" w14:textId="382F4FE8" w:rsidR="0012258E" w:rsidRPr="000D2CA3" w:rsidRDefault="0012258E" w:rsidP="000D2CA3">
      <w:pPr>
        <w:rPr>
          <w:rFonts w:ascii="Garamond" w:hAnsi="Garamond"/>
          <w:sz w:val="16"/>
          <w:szCs w:val="16"/>
        </w:rPr>
      </w:pPr>
      <w:r w:rsidRPr="000D2CA3">
        <w:rPr>
          <w:rFonts w:ascii="Garamond" w:hAnsi="Garamond"/>
          <w:sz w:val="16"/>
          <w:szCs w:val="16"/>
        </w:rPr>
        <w:br w:type="page"/>
      </w:r>
    </w:p>
    <w:p w14:paraId="14DE3880" w14:textId="77E9F97A" w:rsidR="0012258E" w:rsidRPr="000D2CA3" w:rsidRDefault="0012258E" w:rsidP="00103F33">
      <w:pPr>
        <w:pStyle w:val="CaseExhibit"/>
      </w:pPr>
      <w:r w:rsidRPr="000D2CA3">
        <w:lastRenderedPageBreak/>
        <w:t>Exhibit TN2</w:t>
      </w:r>
    </w:p>
    <w:p w14:paraId="2C2A4DD5" w14:textId="16DF0666" w:rsidR="0012258E" w:rsidRPr="000D2CA3" w:rsidRDefault="0012258E" w:rsidP="00103F33">
      <w:pPr>
        <w:pStyle w:val="CaseExhibitTitle"/>
      </w:pPr>
      <w:r w:rsidRPr="000D2CA3">
        <w:t xml:space="preserve">The Battle for Value, 2016: FedEx Corp. </w:t>
      </w:r>
      <w:r w:rsidR="000A6FA3" w:rsidRPr="000D2CA3">
        <w:t>versus</w:t>
      </w:r>
      <w:r w:rsidRPr="000D2CA3">
        <w:t xml:space="preserve"> United Parcel Service, Inc.</w:t>
      </w:r>
    </w:p>
    <w:p w14:paraId="6A5E9A95" w14:textId="499B35FC" w:rsidR="0012258E" w:rsidRPr="000D2CA3" w:rsidRDefault="0012258E" w:rsidP="00103F33">
      <w:pPr>
        <w:pStyle w:val="CaseExhibitSubTitle1"/>
        <w:spacing w:after="360"/>
      </w:pPr>
      <w:r w:rsidRPr="000D2CA3">
        <w:t>2011 and 2015 Financial Performance Comparison</w:t>
      </w:r>
      <w:r w:rsidR="00540D9C" w:rsidRPr="000D2CA3">
        <w:t>,</w:t>
      </w:r>
      <w:r w:rsidRPr="000D2CA3">
        <w:t xml:space="preserve"> FedEx v</w:t>
      </w:r>
      <w:r w:rsidR="00540D9C" w:rsidRPr="000D2CA3">
        <w:t>ersus</w:t>
      </w:r>
      <w:r w:rsidRPr="000D2CA3">
        <w:t xml:space="preserve"> UPS</w:t>
      </w:r>
    </w:p>
    <w:p w14:paraId="6614A385" w14:textId="0452869B" w:rsidR="0012258E" w:rsidRPr="000D2CA3" w:rsidRDefault="00540D9C" w:rsidP="000D2CA3">
      <w:pPr>
        <w:jc w:val="center"/>
        <w:rPr>
          <w:rFonts w:ascii="Garamond" w:hAnsi="Garamond"/>
          <w:sz w:val="22"/>
          <w:szCs w:val="22"/>
        </w:rPr>
      </w:pPr>
      <w:r w:rsidRPr="000D2CA3">
        <w:rPr>
          <w:noProof/>
        </w:rPr>
        <w:drawing>
          <wp:inline distT="0" distB="0" distL="0" distR="0" wp14:anchorId="50DE1B1F" wp14:editId="4B5A1AF3">
            <wp:extent cx="3803301" cy="684765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7155" cy="6854596"/>
                    </a:xfrm>
                    <a:prstGeom prst="rect">
                      <a:avLst/>
                    </a:prstGeom>
                    <a:noFill/>
                    <a:ln>
                      <a:noFill/>
                    </a:ln>
                  </pic:spPr>
                </pic:pic>
              </a:graphicData>
            </a:graphic>
          </wp:inline>
        </w:drawing>
      </w:r>
    </w:p>
    <w:p w14:paraId="79E17435" w14:textId="42019DE4" w:rsidR="0012258E" w:rsidRPr="000D2CA3" w:rsidRDefault="0012258E" w:rsidP="00103F33">
      <w:pPr>
        <w:pStyle w:val="CaseSource"/>
        <w:ind w:left="1710"/>
      </w:pPr>
      <w:r w:rsidRPr="000D2CA3">
        <w:t>Data source</w:t>
      </w:r>
      <w:r w:rsidR="00540D9C" w:rsidRPr="000D2CA3">
        <w:t>s</w:t>
      </w:r>
      <w:r w:rsidRPr="000D2CA3">
        <w:t xml:space="preserve">: Capital IQ, Morningstar, </w:t>
      </w:r>
      <w:r w:rsidR="00540D9C" w:rsidRPr="000D2CA3">
        <w:t xml:space="preserve">and </w:t>
      </w:r>
      <w:r w:rsidRPr="000D2CA3">
        <w:t>company annual reports.</w:t>
      </w:r>
    </w:p>
    <w:p w14:paraId="5D27EE30" w14:textId="1D0AA7FC" w:rsidR="0012258E" w:rsidRPr="000D2CA3" w:rsidRDefault="0012258E" w:rsidP="00103F33">
      <w:pPr>
        <w:pStyle w:val="CaseExhibit"/>
      </w:pPr>
      <w:r w:rsidRPr="000D2CA3">
        <w:t>Exhibit TN3</w:t>
      </w:r>
    </w:p>
    <w:p w14:paraId="5FE986BF" w14:textId="3DFCA7F2" w:rsidR="0012258E" w:rsidRPr="000D2CA3" w:rsidRDefault="0012258E" w:rsidP="00103F33">
      <w:pPr>
        <w:pStyle w:val="CaseExhibitTitle"/>
      </w:pPr>
      <w:r w:rsidRPr="000D2CA3">
        <w:t>The Battle for Value, 2016: FedEx Corp. v</w:t>
      </w:r>
      <w:r w:rsidR="000A6FA3" w:rsidRPr="000D2CA3">
        <w:t>ersus</w:t>
      </w:r>
      <w:r w:rsidRPr="000D2CA3">
        <w:t xml:space="preserve"> United Parcel Service, Inc.</w:t>
      </w:r>
    </w:p>
    <w:p w14:paraId="51A9AAA3" w14:textId="2DE3DBE8" w:rsidR="0012258E" w:rsidRPr="000D2CA3" w:rsidRDefault="0012258E" w:rsidP="00103F33">
      <w:pPr>
        <w:pStyle w:val="CaseExhibitSubTitle1"/>
      </w:pPr>
      <w:r w:rsidRPr="000D2CA3">
        <w:t>Analysis of Geographic Distribution</w:t>
      </w:r>
    </w:p>
    <w:p w14:paraId="19782375" w14:textId="21964CB0" w:rsidR="0012258E" w:rsidRPr="000D2CA3" w:rsidRDefault="00AA3EC9" w:rsidP="000D2CA3">
      <w:pPr>
        <w:jc w:val="center"/>
        <w:rPr>
          <w:rFonts w:ascii="Garamond" w:hAnsi="Garamond"/>
          <w:sz w:val="22"/>
          <w:szCs w:val="22"/>
        </w:rPr>
      </w:pPr>
      <w:r w:rsidRPr="000D2CA3">
        <w:rPr>
          <w:noProof/>
        </w:rPr>
        <w:drawing>
          <wp:inline distT="0" distB="0" distL="0" distR="0" wp14:anchorId="08E5F125" wp14:editId="460F7CB4">
            <wp:extent cx="5943600" cy="16304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30400"/>
                    </a:xfrm>
                    <a:prstGeom prst="rect">
                      <a:avLst/>
                    </a:prstGeom>
                    <a:noFill/>
                    <a:ln>
                      <a:noFill/>
                    </a:ln>
                  </pic:spPr>
                </pic:pic>
              </a:graphicData>
            </a:graphic>
          </wp:inline>
        </w:drawing>
      </w:r>
    </w:p>
    <w:p w14:paraId="0260059C" w14:textId="4CD939E5" w:rsidR="0012258E" w:rsidRPr="000D2CA3" w:rsidRDefault="0012258E" w:rsidP="00103F33">
      <w:pPr>
        <w:pStyle w:val="CaseSource"/>
        <w:ind w:left="0"/>
      </w:pPr>
      <w:r w:rsidRPr="000D2CA3">
        <w:t xml:space="preserve">Data source: Company </w:t>
      </w:r>
      <w:r w:rsidR="00AA3EC9" w:rsidRPr="000D2CA3">
        <w:t>annual reports.</w:t>
      </w:r>
    </w:p>
    <w:p w14:paraId="2EEB2906" w14:textId="294BE854" w:rsidR="0012258E" w:rsidRPr="000D2CA3" w:rsidRDefault="0012258E" w:rsidP="000D2CA3">
      <w:pPr>
        <w:rPr>
          <w:rFonts w:ascii="Garamond" w:hAnsi="Garamond"/>
          <w:sz w:val="22"/>
          <w:szCs w:val="22"/>
        </w:rPr>
      </w:pPr>
      <w:r w:rsidRPr="000D2CA3">
        <w:rPr>
          <w:rFonts w:ascii="Garamond" w:hAnsi="Garamond"/>
          <w:sz w:val="22"/>
          <w:szCs w:val="22"/>
        </w:rPr>
        <w:br w:type="page"/>
      </w:r>
    </w:p>
    <w:p w14:paraId="6B099D2A" w14:textId="5959FC1A" w:rsidR="0012258E" w:rsidRPr="000D2CA3" w:rsidRDefault="0012258E" w:rsidP="00103F33">
      <w:pPr>
        <w:pStyle w:val="CaseExhibit"/>
      </w:pPr>
      <w:r w:rsidRPr="000D2CA3">
        <w:lastRenderedPageBreak/>
        <w:t>Exhibit TN4</w:t>
      </w:r>
    </w:p>
    <w:p w14:paraId="6ADF3A3C" w14:textId="4CCC1D54" w:rsidR="0012258E" w:rsidRPr="000D2CA3" w:rsidRDefault="0012258E" w:rsidP="00103F33">
      <w:pPr>
        <w:pStyle w:val="CaseExhibitTitle"/>
      </w:pPr>
      <w:r w:rsidRPr="000D2CA3">
        <w:t>The Battle for Value, 2016: FedEx Corp. v</w:t>
      </w:r>
      <w:r w:rsidR="000A6FA3" w:rsidRPr="000D2CA3">
        <w:t>ersus</w:t>
      </w:r>
      <w:r w:rsidRPr="000D2CA3">
        <w:t xml:space="preserve"> United Parcel Service, Inc.</w:t>
      </w:r>
    </w:p>
    <w:p w14:paraId="601CA0E7" w14:textId="771003FA" w:rsidR="0012258E" w:rsidRPr="000D2CA3" w:rsidRDefault="0012258E" w:rsidP="00103F33">
      <w:pPr>
        <w:pStyle w:val="CaseExhibitSubTitle1"/>
        <w:spacing w:after="360"/>
      </w:pPr>
      <w:r w:rsidRPr="000D2CA3">
        <w:t>2016 Financial and Market Performance</w:t>
      </w:r>
    </w:p>
    <w:p w14:paraId="7D7CDD34" w14:textId="59AE6568" w:rsidR="00AA3EC9" w:rsidRPr="000D2CA3" w:rsidRDefault="00AA3EC9" w:rsidP="000D2CA3">
      <w:pPr>
        <w:jc w:val="center"/>
        <w:rPr>
          <w:rFonts w:ascii="Garamond" w:hAnsi="Garamond"/>
          <w:sz w:val="22"/>
          <w:szCs w:val="22"/>
        </w:rPr>
      </w:pPr>
      <w:r w:rsidRPr="000D2CA3">
        <w:rPr>
          <w:noProof/>
        </w:rPr>
        <w:drawing>
          <wp:inline distT="0" distB="0" distL="0" distR="0" wp14:anchorId="080938CE" wp14:editId="3CCAFEEF">
            <wp:extent cx="3138985" cy="6813632"/>
            <wp:effectExtent l="0" t="0" r="444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6613" cy="6830191"/>
                    </a:xfrm>
                    <a:prstGeom prst="rect">
                      <a:avLst/>
                    </a:prstGeom>
                    <a:noFill/>
                    <a:ln>
                      <a:noFill/>
                    </a:ln>
                  </pic:spPr>
                </pic:pic>
              </a:graphicData>
            </a:graphic>
          </wp:inline>
        </w:drawing>
      </w:r>
    </w:p>
    <w:p w14:paraId="098BE043" w14:textId="2E1ACBA9" w:rsidR="0012258E" w:rsidRPr="000D2CA3" w:rsidRDefault="0012258E" w:rsidP="00103F33">
      <w:pPr>
        <w:pStyle w:val="CaseSource"/>
        <w:ind w:left="2250"/>
      </w:pPr>
      <w:r w:rsidRPr="000D2CA3">
        <w:t>Data source</w:t>
      </w:r>
      <w:r w:rsidR="00AA3EC9" w:rsidRPr="000D2CA3">
        <w:t>s</w:t>
      </w:r>
      <w:r w:rsidRPr="000D2CA3">
        <w:t>: Google Finance and Value Line.</w:t>
      </w:r>
      <w:bookmarkEnd w:id="0"/>
      <w:bookmarkEnd w:id="1"/>
    </w:p>
    <w:sectPr w:rsidR="0012258E" w:rsidRPr="000D2CA3" w:rsidSect="00103F33">
      <w:headerReference w:type="default" r:id="rId15"/>
      <w:headerReference w:type="first" r:id="rId16"/>
      <w:footerReference w:type="first" r:id="rId17"/>
      <w:type w:val="continuous"/>
      <w:pgSz w:w="12240" w:h="15840" w:code="1"/>
      <w:pgMar w:top="1296" w:right="1440" w:bottom="1296" w:left="1440" w:header="1296" w:footer="1296" w:gutter="0"/>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D8F23" w16cid:durableId="1E1316A7"/>
  <w16cid:commentId w16cid:paraId="0E73B3A6" w16cid:durableId="1E1316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8D583" w14:textId="77777777" w:rsidR="007F7498" w:rsidRDefault="007F7498">
      <w:r>
        <w:separator/>
      </w:r>
    </w:p>
  </w:endnote>
  <w:endnote w:type="continuationSeparator" w:id="0">
    <w:p w14:paraId="28B9CBBD" w14:textId="77777777" w:rsidR="007F7498" w:rsidRDefault="007F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6AEE" w14:textId="77777777" w:rsidR="000A6FA3" w:rsidRDefault="000A6FA3" w:rsidP="000A6FA3">
    <w:pPr>
      <w:pStyle w:val="CaseFootLine"/>
    </w:pPr>
  </w:p>
  <w:p w14:paraId="150DC45B" w14:textId="0D9C8397" w:rsidR="000A6FA3" w:rsidRDefault="000A6FA3" w:rsidP="000A6FA3">
    <w:pPr>
      <w:pStyle w:val="CaseFooter"/>
    </w:pPr>
    <w:r w:rsidRPr="001276C5">
      <w:t xml:space="preserve">This </w:t>
    </w:r>
    <w:r>
      <w:t>teaching note</w:t>
    </w:r>
    <w:r w:rsidRPr="001276C5">
      <w:t xml:space="preserve"> was prepared by Michael J. Schill, Professor of Business Administration</w:t>
    </w:r>
    <w:r>
      <w:t xml:space="preserve">. It draws heavily from Robert F. Bruner and Sean Carr, “The Battle for Value, 2004: FedEx Corp. vs. United Parcel Service, Inc. (TN),” UVA-F-1484TN (Charlottesville, VA: Darden Business Publishing, 2005). </w:t>
    </w:r>
    <w:r w:rsidRPr="001276C5">
      <w:t xml:space="preserve">Copyright </w:t>
    </w:r>
    <w:r w:rsidRPr="001276C5">
      <w:sym w:font="Symbol" w:char="F0E3"/>
    </w:r>
    <w:r w:rsidRPr="001276C5">
      <w:t xml:space="preserve"> 201</w:t>
    </w:r>
    <w:r>
      <w:t>8</w:t>
    </w:r>
    <w:r w:rsidRPr="001276C5">
      <w:t xml:space="preserve"> by the University of Virginia Darden School Foundation, Charlottesville, VA. All rights reserved. </w:t>
    </w:r>
    <w:r w:rsidRPr="001276C5">
      <w:rPr>
        <w:i/>
      </w:rPr>
      <w:t xml:space="preserve">To order copies, send an e-mail to </w:t>
    </w:r>
    <w:hyperlink r:id="rId1" w:history="1">
      <w:r w:rsidRPr="001276C5">
        <w:rPr>
          <w:rStyle w:val="Hyperlink"/>
        </w:rPr>
        <w:t>sales@dardenbusinesspublishing.com</w:t>
      </w:r>
    </w:hyperlink>
    <w:r w:rsidRPr="001276C5">
      <w:t xml:space="preserve">. </w:t>
    </w:r>
    <w:r w:rsidRPr="001276C5">
      <w:rPr>
        <w:i/>
      </w:rPr>
      <w:t xml:space="preserve">No part of this publication may be reproduced, stored in a retrieval system, used in a spreadsheet, or transmitted in any form or by any means—electronic, mechanical, photocopying, recording, or otherwise—without the permission of the Darden School Foundation. </w:t>
    </w:r>
    <w:r w:rsidRPr="00402BD9">
      <w:t xml:space="preserve">Our goal is to publish materials of the highest quality, so please submit any errata to </w:t>
    </w:r>
    <w:hyperlink r:id="rId2" w:history="1">
      <w:r w:rsidRPr="00402BD9">
        <w:rPr>
          <w:rStyle w:val="Hyperlink"/>
        </w:rPr>
        <w:t>editorial@dardenbusinesspublishing.com</w:t>
      </w:r>
    </w:hyperlink>
    <w:r w:rsidRPr="00402BD9">
      <w:rPr>
        <w:color w:val="1F497D"/>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44A35" w14:textId="77777777" w:rsidR="007F7498" w:rsidRDefault="007F7498">
      <w:r>
        <w:separator/>
      </w:r>
    </w:p>
  </w:footnote>
  <w:footnote w:type="continuationSeparator" w:id="0">
    <w:p w14:paraId="6038C80B" w14:textId="77777777" w:rsidR="007F7498" w:rsidRDefault="007F7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937C" w14:textId="081AAA3B" w:rsidR="009032CB" w:rsidRDefault="009032CB" w:rsidP="009032CB">
    <w:pPr>
      <w:pStyle w:val="CasePageNo"/>
    </w:pPr>
    <w:r>
      <w:t xml:space="preserve">Page </w:t>
    </w:r>
    <w:sdt>
      <w:sdtPr>
        <w:id w:val="-684288899"/>
        <w:docPartObj>
          <w:docPartGallery w:val="Page Numbers (Top of Page)"/>
          <w:docPartUnique/>
        </w:docPartObj>
      </w:sdtPr>
      <w:sdtContent>
        <w:r>
          <w:rPr>
            <w:noProof w:val="0"/>
          </w:rPr>
          <w:fldChar w:fldCharType="begin"/>
        </w:r>
        <w:r>
          <w:instrText xml:space="preserve"> PAGE   \* MERGEFORMAT </w:instrText>
        </w:r>
        <w:r>
          <w:rPr>
            <w:noProof w:val="0"/>
          </w:rPr>
          <w:fldChar w:fldCharType="separate"/>
        </w:r>
        <w:r w:rsidR="008E07D4">
          <w:t>8</w:t>
        </w:r>
        <w:r>
          <w:fldChar w:fldCharType="end"/>
        </w:r>
        <w:r>
          <w:tab/>
        </w:r>
        <w:r>
          <w:tab/>
          <w:t>UV</w:t>
        </w:r>
        <w:r w:rsidR="008E07D4">
          <w:t>A-F-1773TN</w:t>
        </w:r>
      </w:sdtContent>
    </w:sdt>
  </w:p>
  <w:p w14:paraId="189A033D" w14:textId="77777777" w:rsidR="00361BF1" w:rsidRPr="009032CB" w:rsidRDefault="008E07D4" w:rsidP="009032CB">
    <w:pPr>
      <w:pStyle w:val="CaseHeaderLi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81C0" w14:textId="260E449E" w:rsidR="009032CB" w:rsidRPr="008B467D" w:rsidRDefault="009032CB" w:rsidP="009032CB">
    <w:pPr>
      <w:pStyle w:val="CaseNumber1"/>
    </w:pPr>
    <w:r>
      <w:drawing>
        <wp:anchor distT="0" distB="0" distL="114300" distR="114300" simplePos="0" relativeHeight="251659264" behindDoc="0" locked="0" layoutInCell="1" allowOverlap="1" wp14:anchorId="413B7FC3" wp14:editId="48AF402B">
          <wp:simplePos x="0" y="0"/>
          <wp:positionH relativeFrom="margin">
            <wp:posOffset>9525</wp:posOffset>
          </wp:positionH>
          <wp:positionV relativeFrom="margin">
            <wp:posOffset>-509905</wp:posOffset>
          </wp:positionV>
          <wp:extent cx="2514600" cy="59880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PB-black-horiz-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98805"/>
                  </a:xfrm>
                  <a:prstGeom prst="rect">
                    <a:avLst/>
                  </a:prstGeom>
                </pic:spPr>
              </pic:pic>
            </a:graphicData>
          </a:graphic>
          <wp14:sizeRelH relativeFrom="margin">
            <wp14:pctWidth>0</wp14:pctWidth>
          </wp14:sizeRelH>
          <wp14:sizeRelV relativeFrom="margin">
            <wp14:pctHeight>0</wp14:pctHeight>
          </wp14:sizeRelV>
        </wp:anchor>
      </w:drawing>
    </w:r>
    <w:r w:rsidRPr="008B467D">
      <w:t>UV</w:t>
    </w:r>
    <w:r w:rsidR="008E07D4">
      <w:t>A-F-1773TN</w:t>
    </w:r>
  </w:p>
  <w:p w14:paraId="006EB736" w14:textId="5FD278B9" w:rsidR="009032CB" w:rsidRDefault="009032CB" w:rsidP="009032CB">
    <w:pPr>
      <w:pStyle w:val="CaseDate"/>
    </w:pPr>
    <w:r>
      <w:t>Jan. 26, 2018</w:t>
    </w:r>
  </w:p>
  <w:p w14:paraId="286E42BA" w14:textId="77777777" w:rsidR="009032CB" w:rsidRDefault="009032CB" w:rsidP="009032CB">
    <w:pPr>
      <w:pStyle w:val="CaseDa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A0C8E38"/>
    <w:lvl w:ilvl="0">
      <w:start w:val="1"/>
      <w:numFmt w:val="decimal"/>
      <w:lvlText w:val="%1."/>
      <w:lvlJc w:val="left"/>
      <w:pPr>
        <w:tabs>
          <w:tab w:val="num" w:pos="360"/>
        </w:tabs>
        <w:ind w:left="360" w:hanging="360"/>
      </w:pPr>
    </w:lvl>
  </w:abstractNum>
  <w:abstractNum w:abstractNumId="1" w15:restartNumberingAfterBreak="0">
    <w:nsid w:val="02772CD0"/>
    <w:multiLevelType w:val="hybridMultilevel"/>
    <w:tmpl w:val="99526882"/>
    <w:lvl w:ilvl="0" w:tplc="E81AA91C">
      <w:start w:val="1"/>
      <w:numFmt w:val="decimal"/>
      <w:lvlText w:val="%1."/>
      <w:lvlJc w:val="left"/>
      <w:pPr>
        <w:tabs>
          <w:tab w:val="num" w:pos="720"/>
        </w:tabs>
        <w:ind w:left="720" w:hanging="360"/>
      </w:pPr>
    </w:lvl>
    <w:lvl w:ilvl="1" w:tplc="07583796">
      <w:start w:val="1"/>
      <w:numFmt w:val="upperRoman"/>
      <w:lvlText w:val="%2."/>
      <w:lvlJc w:val="left"/>
      <w:pPr>
        <w:tabs>
          <w:tab w:val="num" w:pos="1800"/>
        </w:tabs>
        <w:ind w:left="1800" w:hanging="720"/>
      </w:pPr>
      <w:rPr>
        <w:rFonts w:hint="default"/>
      </w:rPr>
    </w:lvl>
    <w:lvl w:ilvl="2" w:tplc="E18C4948" w:tentative="1">
      <w:start w:val="1"/>
      <w:numFmt w:val="lowerRoman"/>
      <w:lvlText w:val="%3."/>
      <w:lvlJc w:val="right"/>
      <w:pPr>
        <w:tabs>
          <w:tab w:val="num" w:pos="2160"/>
        </w:tabs>
        <w:ind w:left="2160" w:hanging="180"/>
      </w:pPr>
    </w:lvl>
    <w:lvl w:ilvl="3" w:tplc="B220EA92" w:tentative="1">
      <w:start w:val="1"/>
      <w:numFmt w:val="decimal"/>
      <w:lvlText w:val="%4."/>
      <w:lvlJc w:val="left"/>
      <w:pPr>
        <w:tabs>
          <w:tab w:val="num" w:pos="2880"/>
        </w:tabs>
        <w:ind w:left="2880" w:hanging="360"/>
      </w:pPr>
    </w:lvl>
    <w:lvl w:ilvl="4" w:tplc="7D7C6032" w:tentative="1">
      <w:start w:val="1"/>
      <w:numFmt w:val="lowerLetter"/>
      <w:lvlText w:val="%5."/>
      <w:lvlJc w:val="left"/>
      <w:pPr>
        <w:tabs>
          <w:tab w:val="num" w:pos="3600"/>
        </w:tabs>
        <w:ind w:left="3600" w:hanging="360"/>
      </w:pPr>
    </w:lvl>
    <w:lvl w:ilvl="5" w:tplc="EF6EDD50" w:tentative="1">
      <w:start w:val="1"/>
      <w:numFmt w:val="lowerRoman"/>
      <w:lvlText w:val="%6."/>
      <w:lvlJc w:val="right"/>
      <w:pPr>
        <w:tabs>
          <w:tab w:val="num" w:pos="4320"/>
        </w:tabs>
        <w:ind w:left="4320" w:hanging="180"/>
      </w:pPr>
    </w:lvl>
    <w:lvl w:ilvl="6" w:tplc="E4BEC982" w:tentative="1">
      <w:start w:val="1"/>
      <w:numFmt w:val="decimal"/>
      <w:lvlText w:val="%7."/>
      <w:lvlJc w:val="left"/>
      <w:pPr>
        <w:tabs>
          <w:tab w:val="num" w:pos="5040"/>
        </w:tabs>
        <w:ind w:left="5040" w:hanging="360"/>
      </w:pPr>
    </w:lvl>
    <w:lvl w:ilvl="7" w:tplc="F808D8B6" w:tentative="1">
      <w:start w:val="1"/>
      <w:numFmt w:val="lowerLetter"/>
      <w:lvlText w:val="%8."/>
      <w:lvlJc w:val="left"/>
      <w:pPr>
        <w:tabs>
          <w:tab w:val="num" w:pos="5760"/>
        </w:tabs>
        <w:ind w:left="5760" w:hanging="360"/>
      </w:pPr>
    </w:lvl>
    <w:lvl w:ilvl="8" w:tplc="426A3596" w:tentative="1">
      <w:start w:val="1"/>
      <w:numFmt w:val="lowerRoman"/>
      <w:lvlText w:val="%9."/>
      <w:lvlJc w:val="right"/>
      <w:pPr>
        <w:tabs>
          <w:tab w:val="num" w:pos="6480"/>
        </w:tabs>
        <w:ind w:left="6480" w:hanging="180"/>
      </w:pPr>
    </w:lvl>
  </w:abstractNum>
  <w:abstractNum w:abstractNumId="2" w15:restartNumberingAfterBreak="0">
    <w:nsid w:val="06AC32E6"/>
    <w:multiLevelType w:val="hybridMultilevel"/>
    <w:tmpl w:val="63120C2A"/>
    <w:lvl w:ilvl="0" w:tplc="0BB0D808">
      <w:start w:val="1"/>
      <w:numFmt w:val="bullet"/>
      <w:pStyle w:val="CaseBullets2"/>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644475"/>
    <w:multiLevelType w:val="hybridMultilevel"/>
    <w:tmpl w:val="77CAFF40"/>
    <w:lvl w:ilvl="0" w:tplc="134E171C">
      <w:start w:val="1"/>
      <w:numFmt w:val="decimal"/>
      <w:lvlText w:val="%1."/>
      <w:lvlJc w:val="left"/>
      <w:pPr>
        <w:tabs>
          <w:tab w:val="num" w:pos="720"/>
        </w:tabs>
        <w:ind w:left="720" w:hanging="360"/>
      </w:pPr>
      <w:rPr>
        <w:rFonts w:hint="default"/>
      </w:rPr>
    </w:lvl>
    <w:lvl w:ilvl="1" w:tplc="CAB40928" w:tentative="1">
      <w:start w:val="1"/>
      <w:numFmt w:val="lowerLetter"/>
      <w:lvlText w:val="%2."/>
      <w:lvlJc w:val="left"/>
      <w:pPr>
        <w:tabs>
          <w:tab w:val="num" w:pos="1440"/>
        </w:tabs>
        <w:ind w:left="1440" w:hanging="360"/>
      </w:pPr>
    </w:lvl>
    <w:lvl w:ilvl="2" w:tplc="965A7592" w:tentative="1">
      <w:start w:val="1"/>
      <w:numFmt w:val="lowerRoman"/>
      <w:lvlText w:val="%3."/>
      <w:lvlJc w:val="right"/>
      <w:pPr>
        <w:tabs>
          <w:tab w:val="num" w:pos="2160"/>
        </w:tabs>
        <w:ind w:left="2160" w:hanging="180"/>
      </w:pPr>
    </w:lvl>
    <w:lvl w:ilvl="3" w:tplc="DFA0BEB0" w:tentative="1">
      <w:start w:val="1"/>
      <w:numFmt w:val="decimal"/>
      <w:lvlText w:val="%4."/>
      <w:lvlJc w:val="left"/>
      <w:pPr>
        <w:tabs>
          <w:tab w:val="num" w:pos="2880"/>
        </w:tabs>
        <w:ind w:left="2880" w:hanging="360"/>
      </w:pPr>
    </w:lvl>
    <w:lvl w:ilvl="4" w:tplc="E83E47B4" w:tentative="1">
      <w:start w:val="1"/>
      <w:numFmt w:val="lowerLetter"/>
      <w:lvlText w:val="%5."/>
      <w:lvlJc w:val="left"/>
      <w:pPr>
        <w:tabs>
          <w:tab w:val="num" w:pos="3600"/>
        </w:tabs>
        <w:ind w:left="3600" w:hanging="360"/>
      </w:pPr>
    </w:lvl>
    <w:lvl w:ilvl="5" w:tplc="18DC0D92" w:tentative="1">
      <w:start w:val="1"/>
      <w:numFmt w:val="lowerRoman"/>
      <w:lvlText w:val="%6."/>
      <w:lvlJc w:val="right"/>
      <w:pPr>
        <w:tabs>
          <w:tab w:val="num" w:pos="4320"/>
        </w:tabs>
        <w:ind w:left="4320" w:hanging="180"/>
      </w:pPr>
    </w:lvl>
    <w:lvl w:ilvl="6" w:tplc="E592A95E" w:tentative="1">
      <w:start w:val="1"/>
      <w:numFmt w:val="decimal"/>
      <w:lvlText w:val="%7."/>
      <w:lvlJc w:val="left"/>
      <w:pPr>
        <w:tabs>
          <w:tab w:val="num" w:pos="5040"/>
        </w:tabs>
        <w:ind w:left="5040" w:hanging="360"/>
      </w:pPr>
    </w:lvl>
    <w:lvl w:ilvl="7" w:tplc="12B868B2" w:tentative="1">
      <w:start w:val="1"/>
      <w:numFmt w:val="lowerLetter"/>
      <w:lvlText w:val="%8."/>
      <w:lvlJc w:val="left"/>
      <w:pPr>
        <w:tabs>
          <w:tab w:val="num" w:pos="5760"/>
        </w:tabs>
        <w:ind w:left="5760" w:hanging="360"/>
      </w:pPr>
    </w:lvl>
    <w:lvl w:ilvl="8" w:tplc="D940F0AE" w:tentative="1">
      <w:start w:val="1"/>
      <w:numFmt w:val="lowerRoman"/>
      <w:lvlText w:val="%9."/>
      <w:lvlJc w:val="right"/>
      <w:pPr>
        <w:tabs>
          <w:tab w:val="num" w:pos="6480"/>
        </w:tabs>
        <w:ind w:left="6480" w:hanging="180"/>
      </w:pPr>
    </w:lvl>
  </w:abstractNum>
  <w:abstractNum w:abstractNumId="4" w15:restartNumberingAfterBreak="0">
    <w:nsid w:val="1F95545E"/>
    <w:multiLevelType w:val="hybridMultilevel"/>
    <w:tmpl w:val="BC98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5314B"/>
    <w:multiLevelType w:val="hybridMultilevel"/>
    <w:tmpl w:val="7F2AD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61C82"/>
    <w:multiLevelType w:val="hybridMultilevel"/>
    <w:tmpl w:val="9DAEC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0D0C25"/>
    <w:multiLevelType w:val="hybridMultilevel"/>
    <w:tmpl w:val="36A2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76029"/>
    <w:multiLevelType w:val="hybridMultilevel"/>
    <w:tmpl w:val="817E37FC"/>
    <w:lvl w:ilvl="0" w:tplc="D0E2F25C">
      <w:start w:val="3"/>
      <w:numFmt w:val="upperRoman"/>
      <w:lvlText w:val="%1."/>
      <w:lvlJc w:val="left"/>
      <w:pPr>
        <w:tabs>
          <w:tab w:val="num" w:pos="1800"/>
        </w:tabs>
        <w:ind w:left="1800" w:hanging="720"/>
      </w:pPr>
      <w:rPr>
        <w:rFonts w:hint="default"/>
      </w:rPr>
    </w:lvl>
    <w:lvl w:ilvl="1" w:tplc="4BCEA416" w:tentative="1">
      <w:start w:val="1"/>
      <w:numFmt w:val="lowerLetter"/>
      <w:lvlText w:val="%2."/>
      <w:lvlJc w:val="left"/>
      <w:pPr>
        <w:tabs>
          <w:tab w:val="num" w:pos="2160"/>
        </w:tabs>
        <w:ind w:left="2160" w:hanging="360"/>
      </w:pPr>
    </w:lvl>
    <w:lvl w:ilvl="2" w:tplc="5C3CF05E" w:tentative="1">
      <w:start w:val="1"/>
      <w:numFmt w:val="lowerRoman"/>
      <w:lvlText w:val="%3."/>
      <w:lvlJc w:val="right"/>
      <w:pPr>
        <w:tabs>
          <w:tab w:val="num" w:pos="2880"/>
        </w:tabs>
        <w:ind w:left="2880" w:hanging="180"/>
      </w:pPr>
    </w:lvl>
    <w:lvl w:ilvl="3" w:tplc="EAD8ECBA" w:tentative="1">
      <w:start w:val="1"/>
      <w:numFmt w:val="decimal"/>
      <w:lvlText w:val="%4."/>
      <w:lvlJc w:val="left"/>
      <w:pPr>
        <w:tabs>
          <w:tab w:val="num" w:pos="3600"/>
        </w:tabs>
        <w:ind w:left="3600" w:hanging="360"/>
      </w:pPr>
    </w:lvl>
    <w:lvl w:ilvl="4" w:tplc="605C0F9E" w:tentative="1">
      <w:start w:val="1"/>
      <w:numFmt w:val="lowerLetter"/>
      <w:lvlText w:val="%5."/>
      <w:lvlJc w:val="left"/>
      <w:pPr>
        <w:tabs>
          <w:tab w:val="num" w:pos="4320"/>
        </w:tabs>
        <w:ind w:left="4320" w:hanging="360"/>
      </w:pPr>
    </w:lvl>
    <w:lvl w:ilvl="5" w:tplc="9F96D2D6" w:tentative="1">
      <w:start w:val="1"/>
      <w:numFmt w:val="lowerRoman"/>
      <w:lvlText w:val="%6."/>
      <w:lvlJc w:val="right"/>
      <w:pPr>
        <w:tabs>
          <w:tab w:val="num" w:pos="5040"/>
        </w:tabs>
        <w:ind w:left="5040" w:hanging="180"/>
      </w:pPr>
    </w:lvl>
    <w:lvl w:ilvl="6" w:tplc="D7940026" w:tentative="1">
      <w:start w:val="1"/>
      <w:numFmt w:val="decimal"/>
      <w:lvlText w:val="%7."/>
      <w:lvlJc w:val="left"/>
      <w:pPr>
        <w:tabs>
          <w:tab w:val="num" w:pos="5760"/>
        </w:tabs>
        <w:ind w:left="5760" w:hanging="360"/>
      </w:pPr>
    </w:lvl>
    <w:lvl w:ilvl="7" w:tplc="026898CA" w:tentative="1">
      <w:start w:val="1"/>
      <w:numFmt w:val="lowerLetter"/>
      <w:lvlText w:val="%8."/>
      <w:lvlJc w:val="left"/>
      <w:pPr>
        <w:tabs>
          <w:tab w:val="num" w:pos="6480"/>
        </w:tabs>
        <w:ind w:left="6480" w:hanging="360"/>
      </w:pPr>
    </w:lvl>
    <w:lvl w:ilvl="8" w:tplc="08BEE11E" w:tentative="1">
      <w:start w:val="1"/>
      <w:numFmt w:val="lowerRoman"/>
      <w:lvlText w:val="%9."/>
      <w:lvlJc w:val="right"/>
      <w:pPr>
        <w:tabs>
          <w:tab w:val="num" w:pos="7200"/>
        </w:tabs>
        <w:ind w:left="7200" w:hanging="180"/>
      </w:pPr>
    </w:lvl>
  </w:abstractNum>
  <w:abstractNum w:abstractNumId="9" w15:restartNumberingAfterBreak="0">
    <w:nsid w:val="33F216AC"/>
    <w:multiLevelType w:val="hybridMultilevel"/>
    <w:tmpl w:val="D47644B8"/>
    <w:lvl w:ilvl="0" w:tplc="66AEB812">
      <w:start w:val="1"/>
      <w:numFmt w:val="bullet"/>
      <w:lvlText w:val=""/>
      <w:lvlJc w:val="left"/>
      <w:pPr>
        <w:tabs>
          <w:tab w:val="num" w:pos="720"/>
        </w:tabs>
        <w:ind w:left="720" w:hanging="360"/>
      </w:pPr>
      <w:rPr>
        <w:rFonts w:ascii="Symbol" w:hAnsi="Symbol" w:hint="default"/>
      </w:rPr>
    </w:lvl>
    <w:lvl w:ilvl="1" w:tplc="0734C192" w:tentative="1">
      <w:start w:val="1"/>
      <w:numFmt w:val="bullet"/>
      <w:lvlText w:val="o"/>
      <w:lvlJc w:val="left"/>
      <w:pPr>
        <w:tabs>
          <w:tab w:val="num" w:pos="1440"/>
        </w:tabs>
        <w:ind w:left="1440" w:hanging="360"/>
      </w:pPr>
      <w:rPr>
        <w:rFonts w:ascii="Courier New" w:hAnsi="Courier New" w:cs="Courier New" w:hint="default"/>
      </w:rPr>
    </w:lvl>
    <w:lvl w:ilvl="2" w:tplc="A4BE95E4" w:tentative="1">
      <w:start w:val="1"/>
      <w:numFmt w:val="bullet"/>
      <w:lvlText w:val=""/>
      <w:lvlJc w:val="left"/>
      <w:pPr>
        <w:tabs>
          <w:tab w:val="num" w:pos="2160"/>
        </w:tabs>
        <w:ind w:left="2160" w:hanging="360"/>
      </w:pPr>
      <w:rPr>
        <w:rFonts w:ascii="Wingdings" w:hAnsi="Wingdings" w:hint="default"/>
      </w:rPr>
    </w:lvl>
    <w:lvl w:ilvl="3" w:tplc="CD247BDC" w:tentative="1">
      <w:start w:val="1"/>
      <w:numFmt w:val="bullet"/>
      <w:lvlText w:val=""/>
      <w:lvlJc w:val="left"/>
      <w:pPr>
        <w:tabs>
          <w:tab w:val="num" w:pos="2880"/>
        </w:tabs>
        <w:ind w:left="2880" w:hanging="360"/>
      </w:pPr>
      <w:rPr>
        <w:rFonts w:ascii="Symbol" w:hAnsi="Symbol" w:hint="default"/>
      </w:rPr>
    </w:lvl>
    <w:lvl w:ilvl="4" w:tplc="200A92D4" w:tentative="1">
      <w:start w:val="1"/>
      <w:numFmt w:val="bullet"/>
      <w:lvlText w:val="o"/>
      <w:lvlJc w:val="left"/>
      <w:pPr>
        <w:tabs>
          <w:tab w:val="num" w:pos="3600"/>
        </w:tabs>
        <w:ind w:left="3600" w:hanging="360"/>
      </w:pPr>
      <w:rPr>
        <w:rFonts w:ascii="Courier New" w:hAnsi="Courier New" w:cs="Courier New" w:hint="default"/>
      </w:rPr>
    </w:lvl>
    <w:lvl w:ilvl="5" w:tplc="5D641F62" w:tentative="1">
      <w:start w:val="1"/>
      <w:numFmt w:val="bullet"/>
      <w:lvlText w:val=""/>
      <w:lvlJc w:val="left"/>
      <w:pPr>
        <w:tabs>
          <w:tab w:val="num" w:pos="4320"/>
        </w:tabs>
        <w:ind w:left="4320" w:hanging="360"/>
      </w:pPr>
      <w:rPr>
        <w:rFonts w:ascii="Wingdings" w:hAnsi="Wingdings" w:hint="default"/>
      </w:rPr>
    </w:lvl>
    <w:lvl w:ilvl="6" w:tplc="77F2E8C6" w:tentative="1">
      <w:start w:val="1"/>
      <w:numFmt w:val="bullet"/>
      <w:lvlText w:val=""/>
      <w:lvlJc w:val="left"/>
      <w:pPr>
        <w:tabs>
          <w:tab w:val="num" w:pos="5040"/>
        </w:tabs>
        <w:ind w:left="5040" w:hanging="360"/>
      </w:pPr>
      <w:rPr>
        <w:rFonts w:ascii="Symbol" w:hAnsi="Symbol" w:hint="default"/>
      </w:rPr>
    </w:lvl>
    <w:lvl w:ilvl="7" w:tplc="AAC03A60" w:tentative="1">
      <w:start w:val="1"/>
      <w:numFmt w:val="bullet"/>
      <w:lvlText w:val="o"/>
      <w:lvlJc w:val="left"/>
      <w:pPr>
        <w:tabs>
          <w:tab w:val="num" w:pos="5760"/>
        </w:tabs>
        <w:ind w:left="5760" w:hanging="360"/>
      </w:pPr>
      <w:rPr>
        <w:rFonts w:ascii="Courier New" w:hAnsi="Courier New" w:cs="Courier New" w:hint="default"/>
      </w:rPr>
    </w:lvl>
    <w:lvl w:ilvl="8" w:tplc="FC8641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46286"/>
    <w:multiLevelType w:val="hybridMultilevel"/>
    <w:tmpl w:val="0DAA86A2"/>
    <w:lvl w:ilvl="0" w:tplc="23F0056A">
      <w:start w:val="3"/>
      <w:numFmt w:val="lowerLetter"/>
      <w:lvlText w:val="%1."/>
      <w:lvlJc w:val="left"/>
      <w:pPr>
        <w:tabs>
          <w:tab w:val="num" w:pos="1440"/>
        </w:tabs>
        <w:ind w:left="1440" w:hanging="360"/>
      </w:pPr>
      <w:rPr>
        <w:rFonts w:hint="default"/>
      </w:rPr>
    </w:lvl>
    <w:lvl w:ilvl="1" w:tplc="320EAA20" w:tentative="1">
      <w:start w:val="1"/>
      <w:numFmt w:val="lowerLetter"/>
      <w:lvlText w:val="%2."/>
      <w:lvlJc w:val="left"/>
      <w:pPr>
        <w:tabs>
          <w:tab w:val="num" w:pos="1440"/>
        </w:tabs>
        <w:ind w:left="1440" w:hanging="360"/>
      </w:pPr>
    </w:lvl>
    <w:lvl w:ilvl="2" w:tplc="2BDCE7E8" w:tentative="1">
      <w:start w:val="1"/>
      <w:numFmt w:val="lowerRoman"/>
      <w:lvlText w:val="%3."/>
      <w:lvlJc w:val="right"/>
      <w:pPr>
        <w:tabs>
          <w:tab w:val="num" w:pos="2160"/>
        </w:tabs>
        <w:ind w:left="2160" w:hanging="180"/>
      </w:pPr>
    </w:lvl>
    <w:lvl w:ilvl="3" w:tplc="5F781206" w:tentative="1">
      <w:start w:val="1"/>
      <w:numFmt w:val="decimal"/>
      <w:lvlText w:val="%4."/>
      <w:lvlJc w:val="left"/>
      <w:pPr>
        <w:tabs>
          <w:tab w:val="num" w:pos="2880"/>
        </w:tabs>
        <w:ind w:left="2880" w:hanging="360"/>
      </w:pPr>
    </w:lvl>
    <w:lvl w:ilvl="4" w:tplc="CD6ADDBE" w:tentative="1">
      <w:start w:val="1"/>
      <w:numFmt w:val="lowerLetter"/>
      <w:lvlText w:val="%5."/>
      <w:lvlJc w:val="left"/>
      <w:pPr>
        <w:tabs>
          <w:tab w:val="num" w:pos="3600"/>
        </w:tabs>
        <w:ind w:left="3600" w:hanging="360"/>
      </w:pPr>
    </w:lvl>
    <w:lvl w:ilvl="5" w:tplc="45F660E2" w:tentative="1">
      <w:start w:val="1"/>
      <w:numFmt w:val="lowerRoman"/>
      <w:lvlText w:val="%6."/>
      <w:lvlJc w:val="right"/>
      <w:pPr>
        <w:tabs>
          <w:tab w:val="num" w:pos="4320"/>
        </w:tabs>
        <w:ind w:left="4320" w:hanging="180"/>
      </w:pPr>
    </w:lvl>
    <w:lvl w:ilvl="6" w:tplc="1D6E8CA8" w:tentative="1">
      <w:start w:val="1"/>
      <w:numFmt w:val="decimal"/>
      <w:lvlText w:val="%7."/>
      <w:lvlJc w:val="left"/>
      <w:pPr>
        <w:tabs>
          <w:tab w:val="num" w:pos="5040"/>
        </w:tabs>
        <w:ind w:left="5040" w:hanging="360"/>
      </w:pPr>
    </w:lvl>
    <w:lvl w:ilvl="7" w:tplc="7E6C8318" w:tentative="1">
      <w:start w:val="1"/>
      <w:numFmt w:val="lowerLetter"/>
      <w:lvlText w:val="%8."/>
      <w:lvlJc w:val="left"/>
      <w:pPr>
        <w:tabs>
          <w:tab w:val="num" w:pos="5760"/>
        </w:tabs>
        <w:ind w:left="5760" w:hanging="360"/>
      </w:pPr>
    </w:lvl>
    <w:lvl w:ilvl="8" w:tplc="C3D689AA" w:tentative="1">
      <w:start w:val="1"/>
      <w:numFmt w:val="lowerRoman"/>
      <w:lvlText w:val="%9."/>
      <w:lvlJc w:val="right"/>
      <w:pPr>
        <w:tabs>
          <w:tab w:val="num" w:pos="6480"/>
        </w:tabs>
        <w:ind w:left="6480" w:hanging="180"/>
      </w:pPr>
    </w:lvl>
  </w:abstractNum>
  <w:abstractNum w:abstractNumId="11" w15:restartNumberingAfterBreak="0">
    <w:nsid w:val="386A03ED"/>
    <w:multiLevelType w:val="hybridMultilevel"/>
    <w:tmpl w:val="5CF8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8316C"/>
    <w:multiLevelType w:val="hybridMultilevel"/>
    <w:tmpl w:val="4EDE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8247A"/>
    <w:multiLevelType w:val="hybridMultilevel"/>
    <w:tmpl w:val="20E6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72C2E"/>
    <w:multiLevelType w:val="hybridMultilevel"/>
    <w:tmpl w:val="F670C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8C051D"/>
    <w:multiLevelType w:val="hybridMultilevel"/>
    <w:tmpl w:val="B7860ADA"/>
    <w:lvl w:ilvl="0" w:tplc="35AC7B20">
      <w:start w:val="1"/>
      <w:numFmt w:val="bullet"/>
      <w:lvlText w:val=""/>
      <w:lvlJc w:val="left"/>
      <w:pPr>
        <w:tabs>
          <w:tab w:val="num" w:pos="360"/>
        </w:tabs>
        <w:ind w:left="360" w:hanging="360"/>
      </w:pPr>
      <w:rPr>
        <w:rFonts w:ascii="Symbol" w:hAnsi="Symbol" w:hint="default"/>
      </w:rPr>
    </w:lvl>
    <w:lvl w:ilvl="1" w:tplc="D8C6BD84" w:tentative="1">
      <w:start w:val="1"/>
      <w:numFmt w:val="bullet"/>
      <w:lvlText w:val="o"/>
      <w:lvlJc w:val="left"/>
      <w:pPr>
        <w:tabs>
          <w:tab w:val="num" w:pos="1080"/>
        </w:tabs>
        <w:ind w:left="1080" w:hanging="360"/>
      </w:pPr>
      <w:rPr>
        <w:rFonts w:ascii="Courier New" w:hAnsi="Courier New" w:hint="default"/>
      </w:rPr>
    </w:lvl>
    <w:lvl w:ilvl="2" w:tplc="E4425A64" w:tentative="1">
      <w:start w:val="1"/>
      <w:numFmt w:val="bullet"/>
      <w:lvlText w:val=""/>
      <w:lvlJc w:val="left"/>
      <w:pPr>
        <w:tabs>
          <w:tab w:val="num" w:pos="1800"/>
        </w:tabs>
        <w:ind w:left="1800" w:hanging="360"/>
      </w:pPr>
      <w:rPr>
        <w:rFonts w:ascii="Wingdings" w:hAnsi="Wingdings" w:hint="default"/>
      </w:rPr>
    </w:lvl>
    <w:lvl w:ilvl="3" w:tplc="42B69650" w:tentative="1">
      <w:start w:val="1"/>
      <w:numFmt w:val="bullet"/>
      <w:lvlText w:val=""/>
      <w:lvlJc w:val="left"/>
      <w:pPr>
        <w:tabs>
          <w:tab w:val="num" w:pos="2520"/>
        </w:tabs>
        <w:ind w:left="2520" w:hanging="360"/>
      </w:pPr>
      <w:rPr>
        <w:rFonts w:ascii="Symbol" w:hAnsi="Symbol" w:hint="default"/>
      </w:rPr>
    </w:lvl>
    <w:lvl w:ilvl="4" w:tplc="2A521816" w:tentative="1">
      <w:start w:val="1"/>
      <w:numFmt w:val="bullet"/>
      <w:lvlText w:val="o"/>
      <w:lvlJc w:val="left"/>
      <w:pPr>
        <w:tabs>
          <w:tab w:val="num" w:pos="3240"/>
        </w:tabs>
        <w:ind w:left="3240" w:hanging="360"/>
      </w:pPr>
      <w:rPr>
        <w:rFonts w:ascii="Courier New" w:hAnsi="Courier New" w:hint="default"/>
      </w:rPr>
    </w:lvl>
    <w:lvl w:ilvl="5" w:tplc="6EE834EC" w:tentative="1">
      <w:start w:val="1"/>
      <w:numFmt w:val="bullet"/>
      <w:lvlText w:val=""/>
      <w:lvlJc w:val="left"/>
      <w:pPr>
        <w:tabs>
          <w:tab w:val="num" w:pos="3960"/>
        </w:tabs>
        <w:ind w:left="3960" w:hanging="360"/>
      </w:pPr>
      <w:rPr>
        <w:rFonts w:ascii="Wingdings" w:hAnsi="Wingdings" w:hint="default"/>
      </w:rPr>
    </w:lvl>
    <w:lvl w:ilvl="6" w:tplc="B87AACDC" w:tentative="1">
      <w:start w:val="1"/>
      <w:numFmt w:val="bullet"/>
      <w:lvlText w:val=""/>
      <w:lvlJc w:val="left"/>
      <w:pPr>
        <w:tabs>
          <w:tab w:val="num" w:pos="4680"/>
        </w:tabs>
        <w:ind w:left="4680" w:hanging="360"/>
      </w:pPr>
      <w:rPr>
        <w:rFonts w:ascii="Symbol" w:hAnsi="Symbol" w:hint="default"/>
      </w:rPr>
    </w:lvl>
    <w:lvl w:ilvl="7" w:tplc="F9468BB6" w:tentative="1">
      <w:start w:val="1"/>
      <w:numFmt w:val="bullet"/>
      <w:lvlText w:val="o"/>
      <w:lvlJc w:val="left"/>
      <w:pPr>
        <w:tabs>
          <w:tab w:val="num" w:pos="5400"/>
        </w:tabs>
        <w:ind w:left="5400" w:hanging="360"/>
      </w:pPr>
      <w:rPr>
        <w:rFonts w:ascii="Courier New" w:hAnsi="Courier New" w:hint="default"/>
      </w:rPr>
    </w:lvl>
    <w:lvl w:ilvl="8" w:tplc="3F2040C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C11F2C"/>
    <w:multiLevelType w:val="hybridMultilevel"/>
    <w:tmpl w:val="230A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84789"/>
    <w:multiLevelType w:val="hybridMultilevel"/>
    <w:tmpl w:val="E92C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F25839"/>
    <w:multiLevelType w:val="hybridMultilevel"/>
    <w:tmpl w:val="05F8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B4B8F"/>
    <w:multiLevelType w:val="hybridMultilevel"/>
    <w:tmpl w:val="CE16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A2279"/>
    <w:multiLevelType w:val="hybridMultilevel"/>
    <w:tmpl w:val="9662A482"/>
    <w:lvl w:ilvl="0" w:tplc="98EC2050">
      <w:start w:val="1"/>
      <w:numFmt w:val="bullet"/>
      <w:pStyle w:val="CaseBullets1"/>
      <w:lvlText w:val=""/>
      <w:lvlJc w:val="left"/>
      <w:pPr>
        <w:tabs>
          <w:tab w:val="num" w:pos="720"/>
        </w:tabs>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35713C"/>
    <w:multiLevelType w:val="hybridMultilevel"/>
    <w:tmpl w:val="0F12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54855"/>
    <w:multiLevelType w:val="hybridMultilevel"/>
    <w:tmpl w:val="76B2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01D4A"/>
    <w:multiLevelType w:val="hybridMultilevel"/>
    <w:tmpl w:val="735278C0"/>
    <w:lvl w:ilvl="0" w:tplc="98EC2050">
      <w:start w:val="1"/>
      <w:numFmt w:val="bullet"/>
      <w:lvlText w:val=""/>
      <w:lvlJc w:val="left"/>
      <w:pPr>
        <w:tabs>
          <w:tab w:val="num" w:pos="720"/>
        </w:tabs>
        <w:ind w:left="720" w:hanging="360"/>
      </w:pPr>
      <w:rPr>
        <w:rFonts w:ascii="Symbol" w:hAnsi="Symbol" w:hint="default"/>
      </w:rPr>
    </w:lvl>
    <w:lvl w:ilvl="1" w:tplc="002A9E10">
      <w:start w:val="1"/>
      <w:numFmt w:val="lowerLetter"/>
      <w:pStyle w:val="CaseAlphaList"/>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587C37"/>
    <w:multiLevelType w:val="hybridMultilevel"/>
    <w:tmpl w:val="ACDC0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7D3427"/>
    <w:multiLevelType w:val="hybridMultilevel"/>
    <w:tmpl w:val="F7BA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E59DA"/>
    <w:multiLevelType w:val="hybridMultilevel"/>
    <w:tmpl w:val="115E92B2"/>
    <w:lvl w:ilvl="0" w:tplc="F3C8E748">
      <w:start w:val="2"/>
      <w:numFmt w:val="upperRoman"/>
      <w:lvlText w:val="%1."/>
      <w:lvlJc w:val="left"/>
      <w:pPr>
        <w:tabs>
          <w:tab w:val="num" w:pos="1800"/>
        </w:tabs>
        <w:ind w:left="1800" w:hanging="720"/>
      </w:pPr>
      <w:rPr>
        <w:rFonts w:hint="default"/>
      </w:rPr>
    </w:lvl>
    <w:lvl w:ilvl="1" w:tplc="5380AE8A" w:tentative="1">
      <w:start w:val="1"/>
      <w:numFmt w:val="lowerLetter"/>
      <w:lvlText w:val="%2."/>
      <w:lvlJc w:val="left"/>
      <w:pPr>
        <w:tabs>
          <w:tab w:val="num" w:pos="2160"/>
        </w:tabs>
        <w:ind w:left="2160" w:hanging="360"/>
      </w:pPr>
    </w:lvl>
    <w:lvl w:ilvl="2" w:tplc="8376A996" w:tentative="1">
      <w:start w:val="1"/>
      <w:numFmt w:val="lowerRoman"/>
      <w:lvlText w:val="%3."/>
      <w:lvlJc w:val="right"/>
      <w:pPr>
        <w:tabs>
          <w:tab w:val="num" w:pos="2880"/>
        </w:tabs>
        <w:ind w:left="2880" w:hanging="180"/>
      </w:pPr>
    </w:lvl>
    <w:lvl w:ilvl="3" w:tplc="517C7F68" w:tentative="1">
      <w:start w:val="1"/>
      <w:numFmt w:val="decimal"/>
      <w:lvlText w:val="%4."/>
      <w:lvlJc w:val="left"/>
      <w:pPr>
        <w:tabs>
          <w:tab w:val="num" w:pos="3600"/>
        </w:tabs>
        <w:ind w:left="3600" w:hanging="360"/>
      </w:pPr>
    </w:lvl>
    <w:lvl w:ilvl="4" w:tplc="344A6A62" w:tentative="1">
      <w:start w:val="1"/>
      <w:numFmt w:val="lowerLetter"/>
      <w:lvlText w:val="%5."/>
      <w:lvlJc w:val="left"/>
      <w:pPr>
        <w:tabs>
          <w:tab w:val="num" w:pos="4320"/>
        </w:tabs>
        <w:ind w:left="4320" w:hanging="360"/>
      </w:pPr>
    </w:lvl>
    <w:lvl w:ilvl="5" w:tplc="9DBA58F8" w:tentative="1">
      <w:start w:val="1"/>
      <w:numFmt w:val="lowerRoman"/>
      <w:lvlText w:val="%6."/>
      <w:lvlJc w:val="right"/>
      <w:pPr>
        <w:tabs>
          <w:tab w:val="num" w:pos="5040"/>
        </w:tabs>
        <w:ind w:left="5040" w:hanging="180"/>
      </w:pPr>
    </w:lvl>
    <w:lvl w:ilvl="6" w:tplc="9EAEE130" w:tentative="1">
      <w:start w:val="1"/>
      <w:numFmt w:val="decimal"/>
      <w:lvlText w:val="%7."/>
      <w:lvlJc w:val="left"/>
      <w:pPr>
        <w:tabs>
          <w:tab w:val="num" w:pos="5760"/>
        </w:tabs>
        <w:ind w:left="5760" w:hanging="360"/>
      </w:pPr>
    </w:lvl>
    <w:lvl w:ilvl="7" w:tplc="7F88E59A" w:tentative="1">
      <w:start w:val="1"/>
      <w:numFmt w:val="lowerLetter"/>
      <w:lvlText w:val="%8."/>
      <w:lvlJc w:val="left"/>
      <w:pPr>
        <w:tabs>
          <w:tab w:val="num" w:pos="6480"/>
        </w:tabs>
        <w:ind w:left="6480" w:hanging="360"/>
      </w:pPr>
    </w:lvl>
    <w:lvl w:ilvl="8" w:tplc="E2AEBEB4" w:tentative="1">
      <w:start w:val="1"/>
      <w:numFmt w:val="lowerRoman"/>
      <w:lvlText w:val="%9."/>
      <w:lvlJc w:val="right"/>
      <w:pPr>
        <w:tabs>
          <w:tab w:val="num" w:pos="7200"/>
        </w:tabs>
        <w:ind w:left="7200" w:hanging="180"/>
      </w:pPr>
    </w:lvl>
  </w:abstractNum>
  <w:abstractNum w:abstractNumId="27" w15:restartNumberingAfterBreak="0">
    <w:nsid w:val="5FB4391E"/>
    <w:multiLevelType w:val="hybridMultilevel"/>
    <w:tmpl w:val="2FE86438"/>
    <w:lvl w:ilvl="0" w:tplc="0346E666">
      <w:start w:val="2"/>
      <w:numFmt w:val="lowerLetter"/>
      <w:lvlText w:val="%1."/>
      <w:lvlJc w:val="left"/>
      <w:pPr>
        <w:tabs>
          <w:tab w:val="num" w:pos="1440"/>
        </w:tabs>
        <w:ind w:left="1440" w:hanging="360"/>
      </w:pPr>
      <w:rPr>
        <w:rFonts w:hint="default"/>
      </w:rPr>
    </w:lvl>
    <w:lvl w:ilvl="1" w:tplc="94086C90">
      <w:start w:val="2"/>
      <w:numFmt w:val="bullet"/>
      <w:lvlText w:val=""/>
      <w:lvlJc w:val="left"/>
      <w:pPr>
        <w:tabs>
          <w:tab w:val="num" w:pos="1800"/>
        </w:tabs>
        <w:ind w:left="1800" w:hanging="360"/>
      </w:pPr>
      <w:rPr>
        <w:rFonts w:ascii="Symbol" w:hAnsi="Symbol" w:hint="default"/>
      </w:rPr>
    </w:lvl>
    <w:lvl w:ilvl="2" w:tplc="37ECCA74" w:tentative="1">
      <w:start w:val="1"/>
      <w:numFmt w:val="lowerRoman"/>
      <w:lvlText w:val="%3."/>
      <w:lvlJc w:val="right"/>
      <w:pPr>
        <w:tabs>
          <w:tab w:val="num" w:pos="2160"/>
        </w:tabs>
        <w:ind w:left="2160" w:hanging="180"/>
      </w:pPr>
    </w:lvl>
    <w:lvl w:ilvl="3" w:tplc="6E6A55E4" w:tentative="1">
      <w:start w:val="1"/>
      <w:numFmt w:val="decimal"/>
      <w:lvlText w:val="%4."/>
      <w:lvlJc w:val="left"/>
      <w:pPr>
        <w:tabs>
          <w:tab w:val="num" w:pos="2880"/>
        </w:tabs>
        <w:ind w:left="2880" w:hanging="360"/>
      </w:pPr>
    </w:lvl>
    <w:lvl w:ilvl="4" w:tplc="9514CA48" w:tentative="1">
      <w:start w:val="1"/>
      <w:numFmt w:val="lowerLetter"/>
      <w:lvlText w:val="%5."/>
      <w:lvlJc w:val="left"/>
      <w:pPr>
        <w:tabs>
          <w:tab w:val="num" w:pos="3600"/>
        </w:tabs>
        <w:ind w:left="3600" w:hanging="360"/>
      </w:pPr>
    </w:lvl>
    <w:lvl w:ilvl="5" w:tplc="DDEC6232" w:tentative="1">
      <w:start w:val="1"/>
      <w:numFmt w:val="lowerRoman"/>
      <w:lvlText w:val="%6."/>
      <w:lvlJc w:val="right"/>
      <w:pPr>
        <w:tabs>
          <w:tab w:val="num" w:pos="4320"/>
        </w:tabs>
        <w:ind w:left="4320" w:hanging="180"/>
      </w:pPr>
    </w:lvl>
    <w:lvl w:ilvl="6" w:tplc="97C0479E" w:tentative="1">
      <w:start w:val="1"/>
      <w:numFmt w:val="decimal"/>
      <w:lvlText w:val="%7."/>
      <w:lvlJc w:val="left"/>
      <w:pPr>
        <w:tabs>
          <w:tab w:val="num" w:pos="5040"/>
        </w:tabs>
        <w:ind w:left="5040" w:hanging="360"/>
      </w:pPr>
    </w:lvl>
    <w:lvl w:ilvl="7" w:tplc="03FAC7A6" w:tentative="1">
      <w:start w:val="1"/>
      <w:numFmt w:val="lowerLetter"/>
      <w:lvlText w:val="%8."/>
      <w:lvlJc w:val="left"/>
      <w:pPr>
        <w:tabs>
          <w:tab w:val="num" w:pos="5760"/>
        </w:tabs>
        <w:ind w:left="5760" w:hanging="360"/>
      </w:pPr>
    </w:lvl>
    <w:lvl w:ilvl="8" w:tplc="A78AD13C" w:tentative="1">
      <w:start w:val="1"/>
      <w:numFmt w:val="lowerRoman"/>
      <w:lvlText w:val="%9."/>
      <w:lvlJc w:val="right"/>
      <w:pPr>
        <w:tabs>
          <w:tab w:val="num" w:pos="6480"/>
        </w:tabs>
        <w:ind w:left="6480" w:hanging="180"/>
      </w:pPr>
    </w:lvl>
  </w:abstractNum>
  <w:abstractNum w:abstractNumId="28" w15:restartNumberingAfterBreak="0">
    <w:nsid w:val="5FBE5147"/>
    <w:multiLevelType w:val="hybridMultilevel"/>
    <w:tmpl w:val="BC5ED324"/>
    <w:lvl w:ilvl="0" w:tplc="AAC27206">
      <w:start w:val="1"/>
      <w:numFmt w:val="bullet"/>
      <w:lvlText w:val=""/>
      <w:lvlJc w:val="left"/>
      <w:pPr>
        <w:tabs>
          <w:tab w:val="num" w:pos="720"/>
        </w:tabs>
        <w:ind w:left="720" w:hanging="360"/>
      </w:pPr>
      <w:rPr>
        <w:rFonts w:ascii="Symbol" w:hAnsi="Symbol" w:hint="default"/>
      </w:rPr>
    </w:lvl>
    <w:lvl w:ilvl="1" w:tplc="D2C091B0" w:tentative="1">
      <w:start w:val="1"/>
      <w:numFmt w:val="bullet"/>
      <w:lvlText w:val="o"/>
      <w:lvlJc w:val="left"/>
      <w:pPr>
        <w:tabs>
          <w:tab w:val="num" w:pos="1440"/>
        </w:tabs>
        <w:ind w:left="1440" w:hanging="360"/>
      </w:pPr>
      <w:rPr>
        <w:rFonts w:ascii="Courier New" w:hAnsi="Courier New" w:cs="Arial" w:hint="default"/>
      </w:rPr>
    </w:lvl>
    <w:lvl w:ilvl="2" w:tplc="B5506B80" w:tentative="1">
      <w:start w:val="1"/>
      <w:numFmt w:val="bullet"/>
      <w:lvlText w:val=""/>
      <w:lvlJc w:val="left"/>
      <w:pPr>
        <w:tabs>
          <w:tab w:val="num" w:pos="2160"/>
        </w:tabs>
        <w:ind w:left="2160" w:hanging="360"/>
      </w:pPr>
      <w:rPr>
        <w:rFonts w:ascii="Wingdings" w:hAnsi="Wingdings" w:hint="default"/>
      </w:rPr>
    </w:lvl>
    <w:lvl w:ilvl="3" w:tplc="9D56969E" w:tentative="1">
      <w:start w:val="1"/>
      <w:numFmt w:val="bullet"/>
      <w:lvlText w:val=""/>
      <w:lvlJc w:val="left"/>
      <w:pPr>
        <w:tabs>
          <w:tab w:val="num" w:pos="2880"/>
        </w:tabs>
        <w:ind w:left="2880" w:hanging="360"/>
      </w:pPr>
      <w:rPr>
        <w:rFonts w:ascii="Symbol" w:hAnsi="Symbol" w:hint="default"/>
      </w:rPr>
    </w:lvl>
    <w:lvl w:ilvl="4" w:tplc="C84A6CD4" w:tentative="1">
      <w:start w:val="1"/>
      <w:numFmt w:val="bullet"/>
      <w:lvlText w:val="o"/>
      <w:lvlJc w:val="left"/>
      <w:pPr>
        <w:tabs>
          <w:tab w:val="num" w:pos="3600"/>
        </w:tabs>
        <w:ind w:left="3600" w:hanging="360"/>
      </w:pPr>
      <w:rPr>
        <w:rFonts w:ascii="Courier New" w:hAnsi="Courier New" w:cs="Arial" w:hint="default"/>
      </w:rPr>
    </w:lvl>
    <w:lvl w:ilvl="5" w:tplc="79F8BC0C" w:tentative="1">
      <w:start w:val="1"/>
      <w:numFmt w:val="bullet"/>
      <w:lvlText w:val=""/>
      <w:lvlJc w:val="left"/>
      <w:pPr>
        <w:tabs>
          <w:tab w:val="num" w:pos="4320"/>
        </w:tabs>
        <w:ind w:left="4320" w:hanging="360"/>
      </w:pPr>
      <w:rPr>
        <w:rFonts w:ascii="Wingdings" w:hAnsi="Wingdings" w:hint="default"/>
      </w:rPr>
    </w:lvl>
    <w:lvl w:ilvl="6" w:tplc="C7D6D832" w:tentative="1">
      <w:start w:val="1"/>
      <w:numFmt w:val="bullet"/>
      <w:lvlText w:val=""/>
      <w:lvlJc w:val="left"/>
      <w:pPr>
        <w:tabs>
          <w:tab w:val="num" w:pos="5040"/>
        </w:tabs>
        <w:ind w:left="5040" w:hanging="360"/>
      </w:pPr>
      <w:rPr>
        <w:rFonts w:ascii="Symbol" w:hAnsi="Symbol" w:hint="default"/>
      </w:rPr>
    </w:lvl>
    <w:lvl w:ilvl="7" w:tplc="94F04580" w:tentative="1">
      <w:start w:val="1"/>
      <w:numFmt w:val="bullet"/>
      <w:lvlText w:val="o"/>
      <w:lvlJc w:val="left"/>
      <w:pPr>
        <w:tabs>
          <w:tab w:val="num" w:pos="5760"/>
        </w:tabs>
        <w:ind w:left="5760" w:hanging="360"/>
      </w:pPr>
      <w:rPr>
        <w:rFonts w:ascii="Courier New" w:hAnsi="Courier New" w:cs="Arial" w:hint="default"/>
      </w:rPr>
    </w:lvl>
    <w:lvl w:ilvl="8" w:tplc="BF26BA8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AF5062"/>
    <w:multiLevelType w:val="hybridMultilevel"/>
    <w:tmpl w:val="AFDC1BA6"/>
    <w:lvl w:ilvl="0" w:tplc="1A488F3A">
      <w:start w:val="1"/>
      <w:numFmt w:val="decimal"/>
      <w:pStyle w:val="CaseNumberList"/>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DC59A7"/>
    <w:multiLevelType w:val="hybridMultilevel"/>
    <w:tmpl w:val="6CBE4386"/>
    <w:lvl w:ilvl="0" w:tplc="7E2CE8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15F27"/>
    <w:multiLevelType w:val="hybridMultilevel"/>
    <w:tmpl w:val="77CAFF40"/>
    <w:lvl w:ilvl="0" w:tplc="134E171C">
      <w:start w:val="1"/>
      <w:numFmt w:val="decimal"/>
      <w:lvlText w:val="%1."/>
      <w:lvlJc w:val="left"/>
      <w:pPr>
        <w:tabs>
          <w:tab w:val="num" w:pos="720"/>
        </w:tabs>
        <w:ind w:left="720" w:hanging="360"/>
      </w:pPr>
      <w:rPr>
        <w:rFonts w:hint="default"/>
      </w:rPr>
    </w:lvl>
    <w:lvl w:ilvl="1" w:tplc="CAB40928" w:tentative="1">
      <w:start w:val="1"/>
      <w:numFmt w:val="lowerLetter"/>
      <w:lvlText w:val="%2."/>
      <w:lvlJc w:val="left"/>
      <w:pPr>
        <w:tabs>
          <w:tab w:val="num" w:pos="1440"/>
        </w:tabs>
        <w:ind w:left="1440" w:hanging="360"/>
      </w:pPr>
    </w:lvl>
    <w:lvl w:ilvl="2" w:tplc="965A7592" w:tentative="1">
      <w:start w:val="1"/>
      <w:numFmt w:val="lowerRoman"/>
      <w:lvlText w:val="%3."/>
      <w:lvlJc w:val="right"/>
      <w:pPr>
        <w:tabs>
          <w:tab w:val="num" w:pos="2160"/>
        </w:tabs>
        <w:ind w:left="2160" w:hanging="180"/>
      </w:pPr>
    </w:lvl>
    <w:lvl w:ilvl="3" w:tplc="DFA0BEB0" w:tentative="1">
      <w:start w:val="1"/>
      <w:numFmt w:val="decimal"/>
      <w:lvlText w:val="%4."/>
      <w:lvlJc w:val="left"/>
      <w:pPr>
        <w:tabs>
          <w:tab w:val="num" w:pos="2880"/>
        </w:tabs>
        <w:ind w:left="2880" w:hanging="360"/>
      </w:pPr>
    </w:lvl>
    <w:lvl w:ilvl="4" w:tplc="E83E47B4" w:tentative="1">
      <w:start w:val="1"/>
      <w:numFmt w:val="lowerLetter"/>
      <w:lvlText w:val="%5."/>
      <w:lvlJc w:val="left"/>
      <w:pPr>
        <w:tabs>
          <w:tab w:val="num" w:pos="3600"/>
        </w:tabs>
        <w:ind w:left="3600" w:hanging="360"/>
      </w:pPr>
    </w:lvl>
    <w:lvl w:ilvl="5" w:tplc="18DC0D92" w:tentative="1">
      <w:start w:val="1"/>
      <w:numFmt w:val="lowerRoman"/>
      <w:lvlText w:val="%6."/>
      <w:lvlJc w:val="right"/>
      <w:pPr>
        <w:tabs>
          <w:tab w:val="num" w:pos="4320"/>
        </w:tabs>
        <w:ind w:left="4320" w:hanging="180"/>
      </w:pPr>
    </w:lvl>
    <w:lvl w:ilvl="6" w:tplc="E592A95E" w:tentative="1">
      <w:start w:val="1"/>
      <w:numFmt w:val="decimal"/>
      <w:lvlText w:val="%7."/>
      <w:lvlJc w:val="left"/>
      <w:pPr>
        <w:tabs>
          <w:tab w:val="num" w:pos="5040"/>
        </w:tabs>
        <w:ind w:left="5040" w:hanging="360"/>
      </w:pPr>
    </w:lvl>
    <w:lvl w:ilvl="7" w:tplc="12B868B2" w:tentative="1">
      <w:start w:val="1"/>
      <w:numFmt w:val="lowerLetter"/>
      <w:lvlText w:val="%8."/>
      <w:lvlJc w:val="left"/>
      <w:pPr>
        <w:tabs>
          <w:tab w:val="num" w:pos="5760"/>
        </w:tabs>
        <w:ind w:left="5760" w:hanging="360"/>
      </w:pPr>
    </w:lvl>
    <w:lvl w:ilvl="8" w:tplc="D940F0AE" w:tentative="1">
      <w:start w:val="1"/>
      <w:numFmt w:val="lowerRoman"/>
      <w:lvlText w:val="%9."/>
      <w:lvlJc w:val="right"/>
      <w:pPr>
        <w:tabs>
          <w:tab w:val="num" w:pos="6480"/>
        </w:tabs>
        <w:ind w:left="6480" w:hanging="180"/>
      </w:pPr>
    </w:lvl>
  </w:abstractNum>
  <w:abstractNum w:abstractNumId="32" w15:restartNumberingAfterBreak="0">
    <w:nsid w:val="704423DD"/>
    <w:multiLevelType w:val="multilevel"/>
    <w:tmpl w:val="C5D28EB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36120B5"/>
    <w:multiLevelType w:val="hybridMultilevel"/>
    <w:tmpl w:val="F4528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013F2F"/>
    <w:multiLevelType w:val="hybridMultilevel"/>
    <w:tmpl w:val="47FCE86C"/>
    <w:lvl w:ilvl="0" w:tplc="1F380718">
      <w:start w:val="1"/>
      <w:numFmt w:val="bullet"/>
      <w:lvlText w:val=""/>
      <w:lvlJc w:val="left"/>
      <w:pPr>
        <w:tabs>
          <w:tab w:val="num" w:pos="720"/>
        </w:tabs>
        <w:ind w:left="720" w:hanging="360"/>
      </w:pPr>
      <w:rPr>
        <w:rFonts w:ascii="Symbol" w:hAnsi="Symbol" w:hint="default"/>
      </w:rPr>
    </w:lvl>
    <w:lvl w:ilvl="1" w:tplc="7CA08CB0" w:tentative="1">
      <w:start w:val="1"/>
      <w:numFmt w:val="bullet"/>
      <w:lvlText w:val="o"/>
      <w:lvlJc w:val="left"/>
      <w:pPr>
        <w:tabs>
          <w:tab w:val="num" w:pos="1440"/>
        </w:tabs>
        <w:ind w:left="1440" w:hanging="360"/>
      </w:pPr>
      <w:rPr>
        <w:rFonts w:ascii="Courier New" w:hAnsi="Courier New" w:cs="Arial" w:hint="default"/>
      </w:rPr>
    </w:lvl>
    <w:lvl w:ilvl="2" w:tplc="A1801CA0" w:tentative="1">
      <w:start w:val="1"/>
      <w:numFmt w:val="bullet"/>
      <w:lvlText w:val=""/>
      <w:lvlJc w:val="left"/>
      <w:pPr>
        <w:tabs>
          <w:tab w:val="num" w:pos="2160"/>
        </w:tabs>
        <w:ind w:left="2160" w:hanging="360"/>
      </w:pPr>
      <w:rPr>
        <w:rFonts w:ascii="Wingdings" w:hAnsi="Wingdings" w:hint="default"/>
      </w:rPr>
    </w:lvl>
    <w:lvl w:ilvl="3" w:tplc="94E0FA3C" w:tentative="1">
      <w:start w:val="1"/>
      <w:numFmt w:val="bullet"/>
      <w:lvlText w:val=""/>
      <w:lvlJc w:val="left"/>
      <w:pPr>
        <w:tabs>
          <w:tab w:val="num" w:pos="2880"/>
        </w:tabs>
        <w:ind w:left="2880" w:hanging="360"/>
      </w:pPr>
      <w:rPr>
        <w:rFonts w:ascii="Symbol" w:hAnsi="Symbol" w:hint="default"/>
      </w:rPr>
    </w:lvl>
    <w:lvl w:ilvl="4" w:tplc="7D20CA3E" w:tentative="1">
      <w:start w:val="1"/>
      <w:numFmt w:val="bullet"/>
      <w:lvlText w:val="o"/>
      <w:lvlJc w:val="left"/>
      <w:pPr>
        <w:tabs>
          <w:tab w:val="num" w:pos="3600"/>
        </w:tabs>
        <w:ind w:left="3600" w:hanging="360"/>
      </w:pPr>
      <w:rPr>
        <w:rFonts w:ascii="Courier New" w:hAnsi="Courier New" w:cs="Arial" w:hint="default"/>
      </w:rPr>
    </w:lvl>
    <w:lvl w:ilvl="5" w:tplc="4FEA2ADE" w:tentative="1">
      <w:start w:val="1"/>
      <w:numFmt w:val="bullet"/>
      <w:lvlText w:val=""/>
      <w:lvlJc w:val="left"/>
      <w:pPr>
        <w:tabs>
          <w:tab w:val="num" w:pos="4320"/>
        </w:tabs>
        <w:ind w:left="4320" w:hanging="360"/>
      </w:pPr>
      <w:rPr>
        <w:rFonts w:ascii="Wingdings" w:hAnsi="Wingdings" w:hint="default"/>
      </w:rPr>
    </w:lvl>
    <w:lvl w:ilvl="6" w:tplc="F1DE8C8C" w:tentative="1">
      <w:start w:val="1"/>
      <w:numFmt w:val="bullet"/>
      <w:lvlText w:val=""/>
      <w:lvlJc w:val="left"/>
      <w:pPr>
        <w:tabs>
          <w:tab w:val="num" w:pos="5040"/>
        </w:tabs>
        <w:ind w:left="5040" w:hanging="360"/>
      </w:pPr>
      <w:rPr>
        <w:rFonts w:ascii="Symbol" w:hAnsi="Symbol" w:hint="default"/>
      </w:rPr>
    </w:lvl>
    <w:lvl w:ilvl="7" w:tplc="7CD68406" w:tentative="1">
      <w:start w:val="1"/>
      <w:numFmt w:val="bullet"/>
      <w:lvlText w:val="o"/>
      <w:lvlJc w:val="left"/>
      <w:pPr>
        <w:tabs>
          <w:tab w:val="num" w:pos="5760"/>
        </w:tabs>
        <w:ind w:left="5760" w:hanging="360"/>
      </w:pPr>
      <w:rPr>
        <w:rFonts w:ascii="Courier New" w:hAnsi="Courier New" w:cs="Arial" w:hint="default"/>
      </w:rPr>
    </w:lvl>
    <w:lvl w:ilvl="8" w:tplc="4BD0FB9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E0748E"/>
    <w:multiLevelType w:val="hybridMultilevel"/>
    <w:tmpl w:val="7D12C386"/>
    <w:lvl w:ilvl="0" w:tplc="017C5E2A">
      <w:start w:val="1"/>
      <w:numFmt w:val="lowerLetter"/>
      <w:lvlText w:val="%1."/>
      <w:lvlJc w:val="left"/>
      <w:pPr>
        <w:tabs>
          <w:tab w:val="num" w:pos="1440"/>
        </w:tabs>
        <w:ind w:left="1440" w:hanging="360"/>
      </w:pPr>
      <w:rPr>
        <w:rFonts w:hint="default"/>
      </w:rPr>
    </w:lvl>
    <w:lvl w:ilvl="1" w:tplc="FAB48464">
      <w:start w:val="1"/>
      <w:numFmt w:val="lowerLetter"/>
      <w:lvlText w:val="%2."/>
      <w:lvlJc w:val="left"/>
      <w:pPr>
        <w:tabs>
          <w:tab w:val="num" w:pos="1440"/>
        </w:tabs>
        <w:ind w:left="1440" w:hanging="360"/>
      </w:pPr>
    </w:lvl>
    <w:lvl w:ilvl="2" w:tplc="6D0491B4" w:tentative="1">
      <w:start w:val="1"/>
      <w:numFmt w:val="lowerRoman"/>
      <w:lvlText w:val="%3."/>
      <w:lvlJc w:val="right"/>
      <w:pPr>
        <w:tabs>
          <w:tab w:val="num" w:pos="2160"/>
        </w:tabs>
        <w:ind w:left="2160" w:hanging="180"/>
      </w:pPr>
    </w:lvl>
    <w:lvl w:ilvl="3" w:tplc="082E3792" w:tentative="1">
      <w:start w:val="1"/>
      <w:numFmt w:val="decimal"/>
      <w:lvlText w:val="%4."/>
      <w:lvlJc w:val="left"/>
      <w:pPr>
        <w:tabs>
          <w:tab w:val="num" w:pos="2880"/>
        </w:tabs>
        <w:ind w:left="2880" w:hanging="360"/>
      </w:pPr>
    </w:lvl>
    <w:lvl w:ilvl="4" w:tplc="44CA522A" w:tentative="1">
      <w:start w:val="1"/>
      <w:numFmt w:val="lowerLetter"/>
      <w:lvlText w:val="%5."/>
      <w:lvlJc w:val="left"/>
      <w:pPr>
        <w:tabs>
          <w:tab w:val="num" w:pos="3600"/>
        </w:tabs>
        <w:ind w:left="3600" w:hanging="360"/>
      </w:pPr>
    </w:lvl>
    <w:lvl w:ilvl="5" w:tplc="94A025D2" w:tentative="1">
      <w:start w:val="1"/>
      <w:numFmt w:val="lowerRoman"/>
      <w:lvlText w:val="%6."/>
      <w:lvlJc w:val="right"/>
      <w:pPr>
        <w:tabs>
          <w:tab w:val="num" w:pos="4320"/>
        </w:tabs>
        <w:ind w:left="4320" w:hanging="180"/>
      </w:pPr>
    </w:lvl>
    <w:lvl w:ilvl="6" w:tplc="4E6C0CC6" w:tentative="1">
      <w:start w:val="1"/>
      <w:numFmt w:val="decimal"/>
      <w:lvlText w:val="%7."/>
      <w:lvlJc w:val="left"/>
      <w:pPr>
        <w:tabs>
          <w:tab w:val="num" w:pos="5040"/>
        </w:tabs>
        <w:ind w:left="5040" w:hanging="360"/>
      </w:pPr>
    </w:lvl>
    <w:lvl w:ilvl="7" w:tplc="67628CBA" w:tentative="1">
      <w:start w:val="1"/>
      <w:numFmt w:val="lowerLetter"/>
      <w:lvlText w:val="%8."/>
      <w:lvlJc w:val="left"/>
      <w:pPr>
        <w:tabs>
          <w:tab w:val="num" w:pos="5760"/>
        </w:tabs>
        <w:ind w:left="5760" w:hanging="360"/>
      </w:pPr>
    </w:lvl>
    <w:lvl w:ilvl="8" w:tplc="1D5A5D08" w:tentative="1">
      <w:start w:val="1"/>
      <w:numFmt w:val="lowerRoman"/>
      <w:lvlText w:val="%9."/>
      <w:lvlJc w:val="right"/>
      <w:pPr>
        <w:tabs>
          <w:tab w:val="num" w:pos="6480"/>
        </w:tabs>
        <w:ind w:left="6480" w:hanging="180"/>
      </w:pPr>
    </w:lvl>
  </w:abstractNum>
  <w:abstractNum w:abstractNumId="36" w15:restartNumberingAfterBreak="0">
    <w:nsid w:val="7DA7382B"/>
    <w:multiLevelType w:val="hybridMultilevel"/>
    <w:tmpl w:val="1B08508E"/>
    <w:lvl w:ilvl="0" w:tplc="6F824940">
      <w:start w:val="1"/>
      <w:numFmt w:val="decimal"/>
      <w:lvlText w:val="%1."/>
      <w:lvlJc w:val="left"/>
      <w:pPr>
        <w:tabs>
          <w:tab w:val="num" w:pos="720"/>
        </w:tabs>
        <w:ind w:left="720" w:hanging="360"/>
      </w:pPr>
    </w:lvl>
    <w:lvl w:ilvl="1" w:tplc="75189AA8" w:tentative="1">
      <w:start w:val="1"/>
      <w:numFmt w:val="lowerLetter"/>
      <w:lvlText w:val="%2."/>
      <w:lvlJc w:val="left"/>
      <w:pPr>
        <w:tabs>
          <w:tab w:val="num" w:pos="1440"/>
        </w:tabs>
        <w:ind w:left="1440" w:hanging="360"/>
      </w:pPr>
    </w:lvl>
    <w:lvl w:ilvl="2" w:tplc="C2B0805C" w:tentative="1">
      <w:start w:val="1"/>
      <w:numFmt w:val="lowerRoman"/>
      <w:lvlText w:val="%3."/>
      <w:lvlJc w:val="right"/>
      <w:pPr>
        <w:tabs>
          <w:tab w:val="num" w:pos="2160"/>
        </w:tabs>
        <w:ind w:left="2160" w:hanging="180"/>
      </w:pPr>
    </w:lvl>
    <w:lvl w:ilvl="3" w:tplc="DBDE6BA0" w:tentative="1">
      <w:start w:val="1"/>
      <w:numFmt w:val="decimal"/>
      <w:lvlText w:val="%4."/>
      <w:lvlJc w:val="left"/>
      <w:pPr>
        <w:tabs>
          <w:tab w:val="num" w:pos="2880"/>
        </w:tabs>
        <w:ind w:left="2880" w:hanging="360"/>
      </w:pPr>
    </w:lvl>
    <w:lvl w:ilvl="4" w:tplc="40D20982" w:tentative="1">
      <w:start w:val="1"/>
      <w:numFmt w:val="lowerLetter"/>
      <w:lvlText w:val="%5."/>
      <w:lvlJc w:val="left"/>
      <w:pPr>
        <w:tabs>
          <w:tab w:val="num" w:pos="3600"/>
        </w:tabs>
        <w:ind w:left="3600" w:hanging="360"/>
      </w:pPr>
    </w:lvl>
    <w:lvl w:ilvl="5" w:tplc="13D4138E" w:tentative="1">
      <w:start w:val="1"/>
      <w:numFmt w:val="lowerRoman"/>
      <w:lvlText w:val="%6."/>
      <w:lvlJc w:val="right"/>
      <w:pPr>
        <w:tabs>
          <w:tab w:val="num" w:pos="4320"/>
        </w:tabs>
        <w:ind w:left="4320" w:hanging="180"/>
      </w:pPr>
    </w:lvl>
    <w:lvl w:ilvl="6" w:tplc="A92467B6" w:tentative="1">
      <w:start w:val="1"/>
      <w:numFmt w:val="decimal"/>
      <w:lvlText w:val="%7."/>
      <w:lvlJc w:val="left"/>
      <w:pPr>
        <w:tabs>
          <w:tab w:val="num" w:pos="5040"/>
        </w:tabs>
        <w:ind w:left="5040" w:hanging="360"/>
      </w:pPr>
    </w:lvl>
    <w:lvl w:ilvl="7" w:tplc="163C6E86" w:tentative="1">
      <w:start w:val="1"/>
      <w:numFmt w:val="lowerLetter"/>
      <w:lvlText w:val="%8."/>
      <w:lvlJc w:val="left"/>
      <w:pPr>
        <w:tabs>
          <w:tab w:val="num" w:pos="5760"/>
        </w:tabs>
        <w:ind w:left="5760" w:hanging="360"/>
      </w:pPr>
    </w:lvl>
    <w:lvl w:ilvl="8" w:tplc="64022160" w:tentative="1">
      <w:start w:val="1"/>
      <w:numFmt w:val="lowerRoman"/>
      <w:lvlText w:val="%9."/>
      <w:lvlJc w:val="right"/>
      <w:pPr>
        <w:tabs>
          <w:tab w:val="num" w:pos="6480"/>
        </w:tabs>
        <w:ind w:left="6480" w:hanging="180"/>
      </w:pPr>
    </w:lvl>
  </w:abstractNum>
  <w:num w:numId="1">
    <w:abstractNumId w:val="28"/>
  </w:num>
  <w:num w:numId="2">
    <w:abstractNumId w:val="1"/>
  </w:num>
  <w:num w:numId="3">
    <w:abstractNumId w:val="36"/>
  </w:num>
  <w:num w:numId="4">
    <w:abstractNumId w:val="31"/>
  </w:num>
  <w:num w:numId="5">
    <w:abstractNumId w:val="34"/>
  </w:num>
  <w:num w:numId="6">
    <w:abstractNumId w:val="15"/>
  </w:num>
  <w:num w:numId="7">
    <w:abstractNumId w:val="9"/>
  </w:num>
  <w:num w:numId="8">
    <w:abstractNumId w:val="35"/>
  </w:num>
  <w:num w:numId="9">
    <w:abstractNumId w:val="27"/>
  </w:num>
  <w:num w:numId="10">
    <w:abstractNumId w:val="26"/>
  </w:num>
  <w:num w:numId="11">
    <w:abstractNumId w:val="32"/>
  </w:num>
  <w:num w:numId="12">
    <w:abstractNumId w:val="10"/>
  </w:num>
  <w:num w:numId="13">
    <w:abstractNumId w:val="8"/>
  </w:num>
  <w:num w:numId="14">
    <w:abstractNumId w:val="25"/>
  </w:num>
  <w:num w:numId="15">
    <w:abstractNumId w:val="3"/>
  </w:num>
  <w:num w:numId="16">
    <w:abstractNumId w:val="21"/>
  </w:num>
  <w:num w:numId="17">
    <w:abstractNumId w:val="11"/>
  </w:num>
  <w:num w:numId="18">
    <w:abstractNumId w:val="7"/>
  </w:num>
  <w:num w:numId="19">
    <w:abstractNumId w:val="19"/>
  </w:num>
  <w:num w:numId="20">
    <w:abstractNumId w:val="16"/>
  </w:num>
  <w:num w:numId="21">
    <w:abstractNumId w:val="14"/>
  </w:num>
  <w:num w:numId="22">
    <w:abstractNumId w:val="18"/>
  </w:num>
  <w:num w:numId="23">
    <w:abstractNumId w:val="12"/>
  </w:num>
  <w:num w:numId="24">
    <w:abstractNumId w:val="22"/>
  </w:num>
  <w:num w:numId="25">
    <w:abstractNumId w:val="4"/>
  </w:num>
  <w:num w:numId="26">
    <w:abstractNumId w:val="30"/>
  </w:num>
  <w:num w:numId="27">
    <w:abstractNumId w:val="17"/>
  </w:num>
  <w:num w:numId="28">
    <w:abstractNumId w:val="5"/>
  </w:num>
  <w:num w:numId="29">
    <w:abstractNumId w:val="20"/>
  </w:num>
  <w:num w:numId="30">
    <w:abstractNumId w:val="13"/>
  </w:num>
  <w:num w:numId="31">
    <w:abstractNumId w:val="2"/>
  </w:num>
  <w:num w:numId="32">
    <w:abstractNumId w:val="29"/>
  </w:num>
  <w:num w:numId="33">
    <w:abstractNumId w:val="0"/>
  </w:num>
  <w:num w:numId="34">
    <w:abstractNumId w:val="29"/>
    <w:lvlOverride w:ilvl="0">
      <w:startOverride w:val="1"/>
    </w:lvlOverride>
  </w:num>
  <w:num w:numId="35">
    <w:abstractNumId w:val="23"/>
  </w:num>
  <w:num w:numId="36">
    <w:abstractNumId w:val="6"/>
  </w:num>
  <w:num w:numId="37">
    <w:abstractNumId w:val="2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trackedChanges" w:enforcement="1" w:cryptProviderType="rsaAES" w:cryptAlgorithmClass="hash" w:cryptAlgorithmType="typeAny" w:cryptAlgorithmSid="14" w:cryptSpinCount="100000" w:hash="ThnuVIIfPMV2MgOzl+tDcYmJlSV1sin0pPRgDnhgUC3/mML7Ak4pz+FUwj7hx8dMGPGzF7bMtNMA/aM8oUXiZg==" w:salt="D/al3r39bGJem6jBVwAEZ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0C"/>
    <w:rsid w:val="00004571"/>
    <w:rsid w:val="00020B6F"/>
    <w:rsid w:val="00065EDD"/>
    <w:rsid w:val="000A6FA3"/>
    <w:rsid w:val="000D2CA3"/>
    <w:rsid w:val="00103F33"/>
    <w:rsid w:val="00111CD2"/>
    <w:rsid w:val="001171D2"/>
    <w:rsid w:val="0012258E"/>
    <w:rsid w:val="001515BC"/>
    <w:rsid w:val="00183196"/>
    <w:rsid w:val="001F1019"/>
    <w:rsid w:val="002B45AE"/>
    <w:rsid w:val="00306CCF"/>
    <w:rsid w:val="003160DB"/>
    <w:rsid w:val="00362132"/>
    <w:rsid w:val="00380731"/>
    <w:rsid w:val="003B0F0C"/>
    <w:rsid w:val="003B1B3A"/>
    <w:rsid w:val="003B7850"/>
    <w:rsid w:val="003B7B57"/>
    <w:rsid w:val="003C2485"/>
    <w:rsid w:val="004362D9"/>
    <w:rsid w:val="004F43C7"/>
    <w:rsid w:val="0053066F"/>
    <w:rsid w:val="00540D9C"/>
    <w:rsid w:val="005D27D3"/>
    <w:rsid w:val="00661696"/>
    <w:rsid w:val="006657A5"/>
    <w:rsid w:val="00670045"/>
    <w:rsid w:val="00690EF6"/>
    <w:rsid w:val="007325D3"/>
    <w:rsid w:val="00744E67"/>
    <w:rsid w:val="00757815"/>
    <w:rsid w:val="00767029"/>
    <w:rsid w:val="00795D18"/>
    <w:rsid w:val="007A0DD5"/>
    <w:rsid w:val="007D7DFC"/>
    <w:rsid w:val="007F7498"/>
    <w:rsid w:val="00813E16"/>
    <w:rsid w:val="00846B5C"/>
    <w:rsid w:val="008737F3"/>
    <w:rsid w:val="008E07D4"/>
    <w:rsid w:val="008F3CEE"/>
    <w:rsid w:val="009032CB"/>
    <w:rsid w:val="009369DA"/>
    <w:rsid w:val="009501EF"/>
    <w:rsid w:val="00A21C67"/>
    <w:rsid w:val="00A35A1A"/>
    <w:rsid w:val="00A919A7"/>
    <w:rsid w:val="00A95B9C"/>
    <w:rsid w:val="00AA3EC9"/>
    <w:rsid w:val="00AF3CB0"/>
    <w:rsid w:val="00BA0E77"/>
    <w:rsid w:val="00C23AB2"/>
    <w:rsid w:val="00C867FE"/>
    <w:rsid w:val="00CD5292"/>
    <w:rsid w:val="00D110B0"/>
    <w:rsid w:val="00D85CE5"/>
    <w:rsid w:val="00D905F6"/>
    <w:rsid w:val="00DF3687"/>
    <w:rsid w:val="00E11789"/>
    <w:rsid w:val="00E13301"/>
    <w:rsid w:val="00E37A94"/>
    <w:rsid w:val="00E548D0"/>
    <w:rsid w:val="00F704BA"/>
    <w:rsid w:val="00FC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9A01FA"/>
  <w15:docId w15:val="{BE467C30-B78E-3A45-81B6-FEF47F9B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CB"/>
    <w:pPr>
      <w:spacing w:after="200"/>
    </w:pPr>
    <w:rPr>
      <w:rFonts w:ascii="Verdana" w:eastAsiaTheme="minorHAnsi" w:hAnsi="Verdana" w:cstheme="minorBidi"/>
      <w:sz w:val="24"/>
      <w:szCs w:val="24"/>
    </w:rPr>
  </w:style>
  <w:style w:type="paragraph" w:styleId="Heading1">
    <w:name w:val="heading 1"/>
    <w:basedOn w:val="Normal"/>
    <w:next w:val="Normal"/>
    <w:link w:val="Heading1Char"/>
    <w:rsid w:val="009032CB"/>
    <w:pPr>
      <w:spacing w:before="480" w:after="240"/>
      <w:outlineLvl w:val="0"/>
    </w:pPr>
    <w:rPr>
      <w:rFonts w:ascii="Franklin Gothic Medium" w:hAnsi="Franklin Gothic Medium" w:cs="Times New Roman"/>
      <w:sz w:val="21"/>
      <w:szCs w:val="21"/>
    </w:rPr>
  </w:style>
  <w:style w:type="paragraph" w:styleId="Heading2">
    <w:name w:val="heading 2"/>
    <w:basedOn w:val="Normal"/>
    <w:next w:val="Normal"/>
    <w:link w:val="Heading2Char"/>
    <w:qFormat/>
    <w:rsid w:val="009032CB"/>
    <w:pPr>
      <w:keepNext/>
      <w:spacing w:after="0"/>
      <w:jc w:val="center"/>
      <w:outlineLvl w:val="1"/>
    </w:pPr>
    <w:rPr>
      <w:rFonts w:ascii="Times New Roman" w:eastAsia="Times New Roman" w:hAnsi="Times New Roman" w:cs="Times New Roman"/>
      <w:b/>
      <w:sz w:val="26"/>
      <w:szCs w:val="26"/>
    </w:rPr>
  </w:style>
  <w:style w:type="paragraph" w:styleId="Heading6">
    <w:name w:val="heading 6"/>
    <w:basedOn w:val="Normal"/>
    <w:next w:val="Normal"/>
    <w:link w:val="Heading6Char"/>
    <w:rsid w:val="009032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9032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32CB"/>
  </w:style>
  <w:style w:type="character" w:styleId="FootnoteReference">
    <w:name w:val="footnote reference"/>
    <w:basedOn w:val="DefaultParagraphFont"/>
    <w:rsid w:val="009032CB"/>
    <w:rPr>
      <w:rFonts w:ascii="Garamond" w:hAnsi="Garamond"/>
      <w:sz w:val="16"/>
      <w:vertAlign w:val="superscript"/>
    </w:rPr>
  </w:style>
  <w:style w:type="paragraph" w:styleId="Header">
    <w:name w:val="header"/>
    <w:basedOn w:val="Normal"/>
    <w:link w:val="HeaderChar"/>
    <w:uiPriority w:val="99"/>
    <w:rsid w:val="009032CB"/>
    <w:pPr>
      <w:tabs>
        <w:tab w:val="center" w:pos="4680"/>
        <w:tab w:val="right" w:pos="9360"/>
      </w:tabs>
      <w:spacing w:after="0"/>
    </w:pPr>
  </w:style>
  <w:style w:type="paragraph" w:styleId="Footer">
    <w:name w:val="footer"/>
    <w:basedOn w:val="Normal"/>
    <w:link w:val="FooterChar"/>
    <w:rsid w:val="009032CB"/>
    <w:pPr>
      <w:tabs>
        <w:tab w:val="center" w:pos="4320"/>
        <w:tab w:val="right" w:pos="8640"/>
      </w:tabs>
      <w:spacing w:after="0"/>
    </w:pPr>
  </w:style>
  <w:style w:type="character" w:styleId="PageNumber">
    <w:name w:val="page number"/>
    <w:basedOn w:val="DefaultParagraphFont"/>
    <w:rsid w:val="009032CB"/>
  </w:style>
  <w:style w:type="paragraph" w:styleId="BalloonText">
    <w:name w:val="Balloon Text"/>
    <w:basedOn w:val="Normal"/>
    <w:link w:val="BalloonTextChar"/>
    <w:rsid w:val="009032CB"/>
    <w:pPr>
      <w:spacing w:after="0"/>
    </w:pPr>
    <w:rPr>
      <w:rFonts w:ascii="Lucida Grande" w:hAnsi="Lucida Grande"/>
      <w:sz w:val="18"/>
      <w:szCs w:val="18"/>
    </w:rPr>
  </w:style>
  <w:style w:type="character" w:styleId="CommentReference">
    <w:name w:val="annotation reference"/>
    <w:basedOn w:val="DefaultParagraphFont"/>
    <w:rsid w:val="009032CB"/>
    <w:rPr>
      <w:sz w:val="18"/>
      <w:szCs w:val="18"/>
    </w:rPr>
  </w:style>
  <w:style w:type="paragraph" w:styleId="CommentText">
    <w:name w:val="annotation text"/>
    <w:basedOn w:val="Normal"/>
    <w:link w:val="CommentTextChar"/>
    <w:rsid w:val="009032CB"/>
  </w:style>
  <w:style w:type="paragraph" w:styleId="CommentSubject">
    <w:name w:val="annotation subject"/>
    <w:basedOn w:val="CommentText"/>
    <w:next w:val="CommentText"/>
    <w:link w:val="CommentSubjectChar"/>
    <w:rsid w:val="009032CB"/>
    <w:rPr>
      <w:b/>
      <w:bCs/>
    </w:rPr>
  </w:style>
  <w:style w:type="paragraph" w:styleId="FootnoteText">
    <w:name w:val="footnote text"/>
    <w:basedOn w:val="Normal"/>
    <w:link w:val="FootnoteTextChar"/>
    <w:rsid w:val="009032CB"/>
    <w:pPr>
      <w:spacing w:after="0"/>
    </w:pPr>
    <w:rPr>
      <w:rFonts w:ascii="Garamond" w:hAnsi="Garamond"/>
      <w:sz w:val="16"/>
    </w:rPr>
  </w:style>
  <w:style w:type="paragraph" w:styleId="ListParagraph">
    <w:name w:val="List Paragraph"/>
    <w:basedOn w:val="Normal"/>
    <w:uiPriority w:val="34"/>
    <w:qFormat/>
    <w:rsid w:val="009032CB"/>
    <w:pPr>
      <w:ind w:left="720"/>
      <w:contextualSpacing/>
    </w:pPr>
  </w:style>
  <w:style w:type="paragraph" w:customStyle="1" w:styleId="CaseTitle">
    <w:name w:val="CaseTitle"/>
    <w:basedOn w:val="Normal"/>
    <w:qFormat/>
    <w:rsid w:val="009032CB"/>
    <w:pPr>
      <w:spacing w:after="0"/>
      <w:jc w:val="center"/>
    </w:pPr>
    <w:rPr>
      <w:rFonts w:ascii="Franklin Gothic Medium" w:hAnsi="Franklin Gothic Medium" w:cs="Times New Roman"/>
      <w:sz w:val="28"/>
      <w:szCs w:val="28"/>
    </w:rPr>
  </w:style>
  <w:style w:type="paragraph" w:customStyle="1" w:styleId="CaseTitleLine">
    <w:name w:val="CaseTitleLine"/>
    <w:basedOn w:val="CaseFootLine"/>
    <w:next w:val="CaseTitle"/>
    <w:qFormat/>
    <w:rsid w:val="009032CB"/>
    <w:pPr>
      <w:jc w:val="right"/>
    </w:pPr>
    <w:rPr>
      <w:rFonts w:ascii="Times New Roman" w:hAnsi="Times New Roman"/>
      <w:caps/>
    </w:rPr>
  </w:style>
  <w:style w:type="character" w:styleId="Hyperlink">
    <w:name w:val="Hyperlink"/>
    <w:basedOn w:val="DefaultParagraphFont"/>
    <w:rsid w:val="009032CB"/>
    <w:rPr>
      <w:color w:val="0563C1" w:themeColor="hyperlink"/>
      <w:u w:val="single"/>
    </w:rPr>
  </w:style>
  <w:style w:type="paragraph" w:customStyle="1" w:styleId="CaseFootLine">
    <w:name w:val="CaseFootLine"/>
    <w:basedOn w:val="Footer"/>
    <w:qFormat/>
    <w:rsid w:val="009032CB"/>
    <w:pPr>
      <w:pBdr>
        <w:top w:val="single" w:sz="4" w:space="1" w:color="auto"/>
      </w:pBdr>
      <w:spacing w:before="240"/>
      <w:jc w:val="both"/>
    </w:pPr>
    <w:rPr>
      <w:rFonts w:ascii="Garamond" w:hAnsi="Garamond" w:cs="Times New Roman"/>
      <w:snapToGrid w:val="0"/>
      <w:sz w:val="16"/>
      <w:szCs w:val="16"/>
    </w:rPr>
  </w:style>
  <w:style w:type="paragraph" w:customStyle="1" w:styleId="CaseFooter">
    <w:name w:val="CaseFooter"/>
    <w:basedOn w:val="CaseFootnote"/>
    <w:qFormat/>
    <w:rsid w:val="009032CB"/>
    <w:pPr>
      <w:ind w:firstLine="0"/>
    </w:pPr>
    <w:rPr>
      <w:snapToGrid w:val="0"/>
    </w:rPr>
  </w:style>
  <w:style w:type="paragraph" w:styleId="Revision">
    <w:name w:val="Revision"/>
    <w:hidden/>
    <w:rsid w:val="009032CB"/>
    <w:rPr>
      <w:rFonts w:ascii="Verdana" w:eastAsiaTheme="minorHAnsi" w:hAnsi="Verdana" w:cstheme="minorBidi"/>
      <w:sz w:val="24"/>
      <w:szCs w:val="24"/>
    </w:rPr>
  </w:style>
  <w:style w:type="character" w:customStyle="1" w:styleId="Heading1Char">
    <w:name w:val="Heading 1 Char"/>
    <w:basedOn w:val="DefaultParagraphFont"/>
    <w:link w:val="Heading1"/>
    <w:rsid w:val="009032CB"/>
    <w:rPr>
      <w:rFonts w:ascii="Franklin Gothic Medium" w:eastAsiaTheme="minorHAnsi" w:hAnsi="Franklin Gothic Medium"/>
      <w:sz w:val="21"/>
      <w:szCs w:val="21"/>
    </w:rPr>
  </w:style>
  <w:style w:type="character" w:customStyle="1" w:styleId="Heading2Char">
    <w:name w:val="Heading 2 Char"/>
    <w:basedOn w:val="DefaultParagraphFont"/>
    <w:link w:val="Heading2"/>
    <w:rsid w:val="009032CB"/>
    <w:rPr>
      <w:b/>
      <w:sz w:val="26"/>
      <w:szCs w:val="26"/>
    </w:rPr>
  </w:style>
  <w:style w:type="character" w:customStyle="1" w:styleId="Heading6Char">
    <w:name w:val="Heading 6 Char"/>
    <w:basedOn w:val="DefaultParagraphFont"/>
    <w:link w:val="Heading6"/>
    <w:rsid w:val="009032C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9032CB"/>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9032CB"/>
    <w:rPr>
      <w:rFonts w:ascii="Verdana" w:eastAsiaTheme="minorHAnsi" w:hAnsi="Verdana" w:cstheme="minorBidi"/>
      <w:sz w:val="24"/>
      <w:szCs w:val="24"/>
    </w:rPr>
  </w:style>
  <w:style w:type="table" w:styleId="MediumGrid3-Accent3">
    <w:name w:val="Medium Grid 3 Accent 3"/>
    <w:basedOn w:val="TableNormal"/>
    <w:uiPriority w:val="69"/>
    <w:rsid w:val="009032CB"/>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FollowedHyperlink">
    <w:name w:val="FollowedHyperlink"/>
    <w:basedOn w:val="DefaultParagraphFont"/>
    <w:rsid w:val="009032CB"/>
    <w:rPr>
      <w:color w:val="954F72" w:themeColor="followedHyperlink"/>
      <w:u w:val="single"/>
    </w:rPr>
  </w:style>
  <w:style w:type="character" w:customStyle="1" w:styleId="FootnoteTextChar">
    <w:name w:val="Footnote Text Char"/>
    <w:basedOn w:val="DefaultParagraphFont"/>
    <w:link w:val="FootnoteText"/>
    <w:rsid w:val="009032CB"/>
    <w:rPr>
      <w:rFonts w:ascii="Garamond" w:eastAsiaTheme="minorHAnsi" w:hAnsi="Garamond" w:cstheme="minorBidi"/>
      <w:sz w:val="16"/>
      <w:szCs w:val="24"/>
    </w:rPr>
  </w:style>
  <w:style w:type="character" w:customStyle="1" w:styleId="CommentTextChar">
    <w:name w:val="Comment Text Char"/>
    <w:basedOn w:val="DefaultParagraphFont"/>
    <w:link w:val="CommentText"/>
    <w:rsid w:val="009032CB"/>
    <w:rPr>
      <w:rFonts w:ascii="Verdana" w:eastAsiaTheme="minorHAnsi" w:hAnsi="Verdana" w:cstheme="minorBidi"/>
      <w:sz w:val="24"/>
      <w:szCs w:val="24"/>
    </w:rPr>
  </w:style>
  <w:style w:type="character" w:customStyle="1" w:styleId="CommentSubjectChar">
    <w:name w:val="Comment Subject Char"/>
    <w:basedOn w:val="CommentTextChar"/>
    <w:link w:val="CommentSubject"/>
    <w:rsid w:val="009032CB"/>
    <w:rPr>
      <w:rFonts w:ascii="Verdana" w:eastAsiaTheme="minorHAnsi" w:hAnsi="Verdana" w:cstheme="minorBidi"/>
      <w:b/>
      <w:bCs/>
      <w:sz w:val="24"/>
      <w:szCs w:val="24"/>
    </w:rPr>
  </w:style>
  <w:style w:type="character" w:customStyle="1" w:styleId="BalloonTextChar">
    <w:name w:val="Balloon Text Char"/>
    <w:basedOn w:val="DefaultParagraphFont"/>
    <w:link w:val="BalloonText"/>
    <w:rsid w:val="009032CB"/>
    <w:rPr>
      <w:rFonts w:ascii="Lucida Grande" w:eastAsiaTheme="minorHAnsi" w:hAnsi="Lucida Grande" w:cstheme="minorBidi"/>
      <w:sz w:val="18"/>
      <w:szCs w:val="18"/>
    </w:rPr>
  </w:style>
  <w:style w:type="character" w:customStyle="1" w:styleId="HeaderChar">
    <w:name w:val="Header Char"/>
    <w:basedOn w:val="DefaultParagraphFont"/>
    <w:link w:val="Header"/>
    <w:uiPriority w:val="99"/>
    <w:rsid w:val="009032CB"/>
    <w:rPr>
      <w:rFonts w:ascii="Verdana" w:eastAsiaTheme="minorHAnsi" w:hAnsi="Verdana" w:cstheme="minorBidi"/>
      <w:sz w:val="24"/>
      <w:szCs w:val="24"/>
    </w:rPr>
  </w:style>
  <w:style w:type="paragraph" w:customStyle="1" w:styleId="CaseEpigraph">
    <w:name w:val="CaseEpigraph"/>
    <w:basedOn w:val="Normal"/>
    <w:qFormat/>
    <w:rsid w:val="009032CB"/>
    <w:pPr>
      <w:spacing w:after="120"/>
      <w:ind w:left="720" w:right="720"/>
    </w:pPr>
    <w:rPr>
      <w:rFonts w:ascii="Garamond" w:hAnsi="Garamond"/>
      <w:i/>
      <w:iCs/>
      <w:sz w:val="22"/>
      <w:szCs w:val="22"/>
    </w:rPr>
  </w:style>
  <w:style w:type="paragraph" w:customStyle="1" w:styleId="CaseEpigraphAuthor">
    <w:name w:val="CaseEpigraphAuthor"/>
    <w:basedOn w:val="Normal"/>
    <w:qFormat/>
    <w:rsid w:val="009032CB"/>
    <w:pPr>
      <w:spacing w:after="0"/>
      <w:ind w:right="720"/>
      <w:jc w:val="right"/>
    </w:pPr>
    <w:rPr>
      <w:rFonts w:ascii="Garamond" w:hAnsi="Garamond"/>
      <w:sz w:val="22"/>
      <w:szCs w:val="22"/>
    </w:rPr>
  </w:style>
  <w:style w:type="paragraph" w:customStyle="1" w:styleId="RunningHead">
    <w:name w:val="RunningHead"/>
    <w:basedOn w:val="Header"/>
    <w:link w:val="RunningHeadChar"/>
    <w:qFormat/>
    <w:rsid w:val="009032CB"/>
    <w:rPr>
      <w:rFonts w:ascii="Garamond" w:hAnsi="Garamond"/>
      <w:noProof/>
      <w:sz w:val="22"/>
      <w:szCs w:val="22"/>
    </w:rPr>
  </w:style>
  <w:style w:type="paragraph" w:customStyle="1" w:styleId="CaseParagraph">
    <w:name w:val="CaseParagraph"/>
    <w:basedOn w:val="Normal"/>
    <w:qFormat/>
    <w:rsid w:val="009032CB"/>
    <w:pPr>
      <w:spacing w:before="220" w:after="0"/>
      <w:ind w:firstLine="360"/>
      <w:jc w:val="both"/>
    </w:pPr>
    <w:rPr>
      <w:rFonts w:ascii="Garamond" w:hAnsi="Garamond" w:cs="Times New Roman"/>
      <w:sz w:val="22"/>
      <w:szCs w:val="22"/>
    </w:rPr>
  </w:style>
  <w:style w:type="paragraph" w:customStyle="1" w:styleId="CaseFootnote">
    <w:name w:val="CaseFootnote"/>
    <w:basedOn w:val="FootnoteText"/>
    <w:qFormat/>
    <w:rsid w:val="009032CB"/>
    <w:pPr>
      <w:ind w:firstLine="187"/>
      <w:jc w:val="both"/>
    </w:pPr>
    <w:rPr>
      <w:rFonts w:cs="Times New Roman"/>
      <w:szCs w:val="16"/>
    </w:rPr>
  </w:style>
  <w:style w:type="paragraph" w:customStyle="1" w:styleId="CaseNumber1">
    <w:name w:val="CaseNumber1"/>
    <w:basedOn w:val="Header"/>
    <w:qFormat/>
    <w:rsid w:val="009032CB"/>
    <w:pPr>
      <w:jc w:val="right"/>
    </w:pPr>
    <w:rPr>
      <w:rFonts w:ascii="Garamond" w:hAnsi="Garamond"/>
      <w:noProof/>
      <w:sz w:val="22"/>
      <w:szCs w:val="22"/>
    </w:rPr>
  </w:style>
  <w:style w:type="paragraph" w:customStyle="1" w:styleId="CaseDate">
    <w:name w:val="CaseDate"/>
    <w:basedOn w:val="Header"/>
    <w:qFormat/>
    <w:rsid w:val="009032CB"/>
    <w:pPr>
      <w:jc w:val="right"/>
    </w:pPr>
    <w:rPr>
      <w:rFonts w:ascii="Garamond" w:hAnsi="Garamond" w:cs="Times New Roman"/>
      <w:sz w:val="16"/>
      <w:szCs w:val="16"/>
    </w:rPr>
  </w:style>
  <w:style w:type="paragraph" w:customStyle="1" w:styleId="CaseHead1">
    <w:name w:val="CaseHead1"/>
    <w:basedOn w:val="Heading1"/>
    <w:qFormat/>
    <w:rsid w:val="009032CB"/>
  </w:style>
  <w:style w:type="character" w:customStyle="1" w:styleId="CaseCallout">
    <w:name w:val="CaseCallout"/>
    <w:basedOn w:val="DefaultParagraphFont"/>
    <w:uiPriority w:val="1"/>
    <w:qFormat/>
    <w:rsid w:val="009032CB"/>
    <w:rPr>
      <w:rFonts w:ascii="Garamond" w:hAnsi="Garamond" w:cs="Times New Roman"/>
      <w:b/>
      <w:sz w:val="22"/>
      <w:szCs w:val="22"/>
    </w:rPr>
  </w:style>
  <w:style w:type="character" w:customStyle="1" w:styleId="CaseItalic">
    <w:name w:val="CaseItalic"/>
    <w:basedOn w:val="DefaultParagraphFont"/>
    <w:uiPriority w:val="1"/>
    <w:qFormat/>
    <w:rsid w:val="009032CB"/>
    <w:rPr>
      <w:rFonts w:ascii="Garamond" w:hAnsi="Garamond" w:cs="Times New Roman"/>
      <w:i/>
      <w:sz w:val="22"/>
      <w:szCs w:val="22"/>
    </w:rPr>
  </w:style>
  <w:style w:type="paragraph" w:customStyle="1" w:styleId="CaseBullets1">
    <w:name w:val="CaseBullets1"/>
    <w:basedOn w:val="ListParagraph"/>
    <w:qFormat/>
    <w:rsid w:val="009032CB"/>
    <w:pPr>
      <w:numPr>
        <w:numId w:val="29"/>
      </w:numPr>
      <w:tabs>
        <w:tab w:val="clear" w:pos="720"/>
      </w:tabs>
      <w:spacing w:before="120" w:after="120"/>
      <w:contextualSpacing w:val="0"/>
      <w:jc w:val="both"/>
    </w:pPr>
    <w:rPr>
      <w:rFonts w:ascii="Garamond" w:hAnsi="Garamond" w:cs="Times New Roman"/>
      <w:sz w:val="22"/>
      <w:szCs w:val="22"/>
    </w:rPr>
  </w:style>
  <w:style w:type="paragraph" w:customStyle="1" w:styleId="CaseNumber2">
    <w:name w:val="CaseNumber2"/>
    <w:basedOn w:val="RunningHead"/>
    <w:link w:val="CaseNumber2Char"/>
    <w:qFormat/>
    <w:rsid w:val="009032CB"/>
    <w:pPr>
      <w:spacing w:after="160"/>
    </w:pPr>
  </w:style>
  <w:style w:type="paragraph" w:customStyle="1" w:styleId="CasePageNo">
    <w:name w:val="CasePageNo"/>
    <w:basedOn w:val="CaseNumber2"/>
    <w:link w:val="CasePageNoChar"/>
    <w:qFormat/>
    <w:rsid w:val="009032CB"/>
    <w:pPr>
      <w:spacing w:after="0"/>
    </w:pPr>
  </w:style>
  <w:style w:type="paragraph" w:customStyle="1" w:styleId="CaseHeaderLine">
    <w:name w:val="CaseHeaderLine"/>
    <w:basedOn w:val="Header"/>
    <w:qFormat/>
    <w:rsid w:val="009032CB"/>
    <w:pPr>
      <w:pBdr>
        <w:bottom w:val="single" w:sz="4" w:space="2" w:color="auto"/>
      </w:pBdr>
      <w:spacing w:after="160"/>
    </w:pPr>
    <w:rPr>
      <w:rFonts w:ascii="Garamond" w:hAnsi="Garamond" w:cs="Times New Roman"/>
      <w:sz w:val="16"/>
      <w:szCs w:val="16"/>
    </w:rPr>
  </w:style>
  <w:style w:type="character" w:customStyle="1" w:styleId="RunningHeadChar">
    <w:name w:val="RunningHead Char"/>
    <w:basedOn w:val="HeaderChar"/>
    <w:link w:val="RunningHead"/>
    <w:rsid w:val="009032CB"/>
    <w:rPr>
      <w:rFonts w:ascii="Garamond" w:eastAsiaTheme="minorHAnsi" w:hAnsi="Garamond" w:cstheme="minorBidi"/>
      <w:noProof/>
      <w:sz w:val="22"/>
      <w:szCs w:val="22"/>
    </w:rPr>
  </w:style>
  <w:style w:type="character" w:customStyle="1" w:styleId="CaseNumber2Char">
    <w:name w:val="CaseNumber2 Char"/>
    <w:basedOn w:val="RunningHeadChar"/>
    <w:link w:val="CaseNumber2"/>
    <w:rsid w:val="009032CB"/>
    <w:rPr>
      <w:rFonts w:ascii="Garamond" w:eastAsiaTheme="minorHAnsi" w:hAnsi="Garamond" w:cstheme="minorBidi"/>
      <w:noProof/>
      <w:sz w:val="22"/>
      <w:szCs w:val="22"/>
    </w:rPr>
  </w:style>
  <w:style w:type="character" w:customStyle="1" w:styleId="CasePageNoChar">
    <w:name w:val="CasePageNo Char"/>
    <w:basedOn w:val="CaseNumber2Char"/>
    <w:link w:val="CasePageNo"/>
    <w:rsid w:val="009032CB"/>
    <w:rPr>
      <w:rFonts w:ascii="Garamond" w:eastAsiaTheme="minorHAnsi" w:hAnsi="Garamond" w:cstheme="minorBidi"/>
      <w:noProof/>
      <w:sz w:val="22"/>
      <w:szCs w:val="22"/>
    </w:rPr>
  </w:style>
  <w:style w:type="paragraph" w:customStyle="1" w:styleId="CaseHead2">
    <w:name w:val="CaseHead2"/>
    <w:basedOn w:val="Normal"/>
    <w:next w:val="CaseParagraph"/>
    <w:qFormat/>
    <w:rsid w:val="009032CB"/>
    <w:pPr>
      <w:spacing w:after="0"/>
      <w:ind w:firstLine="360"/>
      <w:jc w:val="both"/>
    </w:pPr>
    <w:rPr>
      <w:rFonts w:ascii="Franklin Gothic Book" w:hAnsi="Franklin Gothic Book" w:cs="Times New Roman"/>
      <w:sz w:val="21"/>
      <w:szCs w:val="21"/>
    </w:rPr>
  </w:style>
  <w:style w:type="paragraph" w:customStyle="1" w:styleId="CaseHead3">
    <w:name w:val="CaseHead3"/>
    <w:basedOn w:val="Normal"/>
    <w:next w:val="CaseParagraph"/>
    <w:qFormat/>
    <w:rsid w:val="009032CB"/>
    <w:pPr>
      <w:spacing w:after="0"/>
      <w:ind w:firstLine="720"/>
      <w:jc w:val="both"/>
    </w:pPr>
    <w:rPr>
      <w:rFonts w:ascii="Franklin Gothic Book" w:hAnsi="Franklin Gothic Book" w:cs="Times New Roman"/>
      <w:sz w:val="21"/>
      <w:szCs w:val="21"/>
    </w:rPr>
  </w:style>
  <w:style w:type="paragraph" w:customStyle="1" w:styleId="CaseFigure">
    <w:name w:val="CaseFigure"/>
    <w:basedOn w:val="Normal"/>
    <w:qFormat/>
    <w:rsid w:val="009032CB"/>
    <w:pPr>
      <w:spacing w:after="0"/>
      <w:jc w:val="center"/>
    </w:pPr>
    <w:rPr>
      <w:rFonts w:ascii="Garamond" w:hAnsi="Garamond" w:cs="Times New Roman"/>
      <w:sz w:val="22"/>
      <w:szCs w:val="22"/>
    </w:rPr>
  </w:style>
  <w:style w:type="paragraph" w:customStyle="1" w:styleId="CaseTable">
    <w:name w:val="CaseTable"/>
    <w:basedOn w:val="CaseFigure"/>
    <w:qFormat/>
    <w:rsid w:val="009032CB"/>
  </w:style>
  <w:style w:type="paragraph" w:customStyle="1" w:styleId="CaseNumberList">
    <w:name w:val="CaseNumberList"/>
    <w:basedOn w:val="Normal"/>
    <w:qFormat/>
    <w:rsid w:val="009032CB"/>
    <w:pPr>
      <w:tabs>
        <w:tab w:val="num" w:pos="720"/>
      </w:tabs>
      <w:spacing w:after="120"/>
      <w:ind w:left="720" w:hanging="360"/>
      <w:jc w:val="both"/>
    </w:pPr>
    <w:rPr>
      <w:rFonts w:ascii="Garamond" w:hAnsi="Garamond"/>
      <w:sz w:val="22"/>
      <w:szCs w:val="22"/>
      <w:lang w:eastAsia="zh-CN"/>
    </w:rPr>
  </w:style>
  <w:style w:type="paragraph" w:customStyle="1" w:styleId="CaseExhibit">
    <w:name w:val="CaseExhibit"/>
    <w:basedOn w:val="Normal"/>
    <w:qFormat/>
    <w:rsid w:val="009032CB"/>
    <w:pPr>
      <w:spacing w:after="120"/>
      <w:ind w:left="720" w:hanging="720"/>
      <w:jc w:val="center"/>
    </w:pPr>
    <w:rPr>
      <w:rFonts w:ascii="Garamond" w:hAnsi="Garamond"/>
      <w:sz w:val="22"/>
      <w:szCs w:val="22"/>
    </w:rPr>
  </w:style>
  <w:style w:type="paragraph" w:customStyle="1" w:styleId="CaseExhibitTitle">
    <w:name w:val="CaseExhibitTitle"/>
    <w:basedOn w:val="Normal"/>
    <w:qFormat/>
    <w:rsid w:val="009032CB"/>
    <w:pPr>
      <w:spacing w:after="0"/>
      <w:jc w:val="center"/>
    </w:pPr>
    <w:rPr>
      <w:rFonts w:ascii="Franklin Gothic Medium" w:hAnsi="Franklin Gothic Medium" w:cs="Times New Roman"/>
      <w:sz w:val="22"/>
      <w:szCs w:val="22"/>
    </w:rPr>
  </w:style>
  <w:style w:type="paragraph" w:customStyle="1" w:styleId="CaseExhibitSubTitle2">
    <w:name w:val="CaseExhibitSubTitle2"/>
    <w:basedOn w:val="Normal"/>
    <w:qFormat/>
    <w:rsid w:val="009032CB"/>
    <w:pPr>
      <w:spacing w:before="120" w:after="0"/>
      <w:ind w:left="720" w:hanging="720"/>
      <w:jc w:val="center"/>
    </w:pPr>
    <w:rPr>
      <w:rFonts w:ascii="Garamond" w:hAnsi="Garamond"/>
      <w:sz w:val="22"/>
      <w:szCs w:val="22"/>
    </w:rPr>
  </w:style>
  <w:style w:type="character" w:customStyle="1" w:styleId="CaseBold">
    <w:name w:val="CaseBold"/>
    <w:basedOn w:val="CaseCallout"/>
    <w:uiPriority w:val="1"/>
    <w:qFormat/>
    <w:rsid w:val="009032CB"/>
    <w:rPr>
      <w:rFonts w:ascii="Garamond" w:hAnsi="Garamond" w:cs="Times New Roman"/>
      <w:b/>
      <w:sz w:val="22"/>
      <w:szCs w:val="22"/>
    </w:rPr>
  </w:style>
  <w:style w:type="character" w:customStyle="1" w:styleId="CaseBoldItalic">
    <w:name w:val="CaseBoldItalic"/>
    <w:basedOn w:val="DefaultParagraphFont"/>
    <w:uiPriority w:val="1"/>
    <w:qFormat/>
    <w:rsid w:val="009032CB"/>
    <w:rPr>
      <w:rFonts w:ascii="Garamond" w:hAnsi="Garamond" w:cs="Times New Roman"/>
      <w:b/>
      <w:i/>
      <w:sz w:val="22"/>
      <w:szCs w:val="22"/>
    </w:rPr>
  </w:style>
  <w:style w:type="paragraph" w:customStyle="1" w:styleId="CaseBullets2">
    <w:name w:val="CaseBullets2"/>
    <w:basedOn w:val="Normal"/>
    <w:qFormat/>
    <w:rsid w:val="009032CB"/>
    <w:pPr>
      <w:numPr>
        <w:numId w:val="31"/>
      </w:numPr>
      <w:spacing w:after="120"/>
      <w:ind w:left="1080"/>
      <w:jc w:val="both"/>
    </w:pPr>
    <w:rPr>
      <w:rFonts w:ascii="Garamond" w:hAnsi="Garamond"/>
      <w:sz w:val="22"/>
      <w:szCs w:val="22"/>
      <w:lang w:eastAsia="zh-CN"/>
    </w:rPr>
  </w:style>
  <w:style w:type="paragraph" w:customStyle="1" w:styleId="CaseDialogue">
    <w:name w:val="CaseDialogue"/>
    <w:basedOn w:val="Normal"/>
    <w:qFormat/>
    <w:rsid w:val="009032CB"/>
    <w:pPr>
      <w:spacing w:after="120"/>
      <w:ind w:left="720" w:hanging="720"/>
      <w:jc w:val="both"/>
    </w:pPr>
    <w:rPr>
      <w:rFonts w:ascii="Garamond" w:hAnsi="Garamond"/>
      <w:sz w:val="22"/>
      <w:szCs w:val="22"/>
    </w:rPr>
  </w:style>
  <w:style w:type="character" w:customStyle="1" w:styleId="CaseNumber">
    <w:name w:val="CaseNumber"/>
    <w:basedOn w:val="DefaultParagraphFont"/>
    <w:uiPriority w:val="1"/>
    <w:qFormat/>
    <w:rsid w:val="009032CB"/>
    <w:rPr>
      <w:rFonts w:ascii="Garamond" w:hAnsi="Garamond"/>
      <w:sz w:val="22"/>
    </w:rPr>
  </w:style>
  <w:style w:type="paragraph" w:customStyle="1" w:styleId="CaseExhibitSubTitle2Sub">
    <w:name w:val="CaseExhibitSubTitle2Sub"/>
    <w:basedOn w:val="CaseExhibitSubTitle2"/>
    <w:qFormat/>
    <w:rsid w:val="009032CB"/>
    <w:pPr>
      <w:spacing w:before="0" w:after="240"/>
    </w:pPr>
  </w:style>
  <w:style w:type="paragraph" w:customStyle="1" w:styleId="CaseExhibitSubTitle1">
    <w:name w:val="CaseExhibitSubTitle1"/>
    <w:basedOn w:val="CaseExhibitSubTitle2"/>
    <w:qFormat/>
    <w:rsid w:val="009032CB"/>
    <w:pPr>
      <w:spacing w:after="480"/>
    </w:pPr>
  </w:style>
  <w:style w:type="paragraph" w:customStyle="1" w:styleId="CaseParagraphList">
    <w:name w:val="CaseParagraph/List"/>
    <w:basedOn w:val="CaseParagraph"/>
    <w:qFormat/>
    <w:rsid w:val="009032CB"/>
    <w:pPr>
      <w:spacing w:after="220"/>
    </w:pPr>
  </w:style>
  <w:style w:type="character" w:customStyle="1" w:styleId="CaseUnderline">
    <w:name w:val="CaseUnderline"/>
    <w:basedOn w:val="DefaultParagraphFont"/>
    <w:uiPriority w:val="1"/>
    <w:qFormat/>
    <w:rsid w:val="009032CB"/>
    <w:rPr>
      <w:rFonts w:ascii="Garamond" w:hAnsi="Garamond"/>
      <w:sz w:val="22"/>
      <w:u w:val="single"/>
    </w:rPr>
  </w:style>
  <w:style w:type="paragraph" w:customStyle="1" w:styleId="CaseAlphaList">
    <w:name w:val="CaseAlphaList"/>
    <w:basedOn w:val="CaseBullets1"/>
    <w:qFormat/>
    <w:rsid w:val="009032CB"/>
    <w:pPr>
      <w:numPr>
        <w:ilvl w:val="1"/>
        <w:numId w:val="35"/>
      </w:numPr>
      <w:ind w:left="1080"/>
    </w:pPr>
  </w:style>
  <w:style w:type="paragraph" w:customStyle="1" w:styleId="CaseParaIndentList">
    <w:name w:val="CaseParaIndentList"/>
    <w:basedOn w:val="CaseAlphaList"/>
    <w:qFormat/>
    <w:rsid w:val="009032CB"/>
    <w:pPr>
      <w:numPr>
        <w:ilvl w:val="0"/>
        <w:numId w:val="0"/>
      </w:numPr>
      <w:ind w:left="720"/>
    </w:pPr>
  </w:style>
  <w:style w:type="paragraph" w:customStyle="1" w:styleId="CaseParaIndent">
    <w:name w:val="CaseParaIndent"/>
    <w:basedOn w:val="CaseParagraph"/>
    <w:qFormat/>
    <w:rsid w:val="009032CB"/>
  </w:style>
  <w:style w:type="paragraph" w:customStyle="1" w:styleId="CaseSource">
    <w:name w:val="CaseSource"/>
    <w:basedOn w:val="Footer"/>
    <w:qFormat/>
    <w:rsid w:val="009032CB"/>
    <w:pPr>
      <w:tabs>
        <w:tab w:val="clear" w:pos="4320"/>
        <w:tab w:val="clear" w:pos="8640"/>
      </w:tabs>
      <w:spacing w:before="60" w:after="60"/>
      <w:ind w:left="1080" w:right="907"/>
      <w:jc w:val="both"/>
    </w:pPr>
    <w:rPr>
      <w:rFonts w:ascii="Garamond" w:hAnsi="Garamond"/>
      <w:sz w:val="16"/>
      <w:szCs w:val="16"/>
    </w:rPr>
  </w:style>
  <w:style w:type="paragraph" w:customStyle="1" w:styleId="CaseParaNoIdent">
    <w:name w:val="CaseParaNoIdent"/>
    <w:basedOn w:val="CaseParagraph"/>
    <w:qFormat/>
    <w:rsid w:val="009032CB"/>
    <w:pPr>
      <w:ind w:firstLine="0"/>
    </w:pPr>
  </w:style>
  <w:style w:type="character" w:customStyle="1" w:styleId="CaseBoldUnderline">
    <w:name w:val="CaseBoldUnderline"/>
    <w:basedOn w:val="DefaultParagraphFont"/>
    <w:uiPriority w:val="1"/>
    <w:qFormat/>
    <w:rsid w:val="009032CB"/>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86738">
      <w:bodyDiv w:val="1"/>
      <w:marLeft w:val="0"/>
      <w:marRight w:val="0"/>
      <w:marTop w:val="0"/>
      <w:marBottom w:val="0"/>
      <w:divBdr>
        <w:top w:val="none" w:sz="0" w:space="0" w:color="auto"/>
        <w:left w:val="none" w:sz="0" w:space="0" w:color="auto"/>
        <w:bottom w:val="none" w:sz="0" w:space="0" w:color="auto"/>
        <w:right w:val="none" w:sz="0" w:space="0" w:color="auto"/>
      </w:divBdr>
    </w:div>
    <w:div w:id="1318798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hyperlink" Target="mailto:editorial@dardenbusinesspublishing.com" TargetMode="External"/><Relationship Id="rId1" Type="http://schemas.openxmlformats.org/officeDocument/2006/relationships/hyperlink" Target="mailto:sales@dardenbusinesspublish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onS\Desktop\Uploads\Case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d314d7ef-47d2-49ec-98a2-beb62148fffe">2CPRT4FFDSWV-473764249-36158</_dlc_DocId>
    <_dlc_DocIdUrl xmlns="d314d7ef-47d2-49ec-98a2-beb62148fffe">
      <Url>http://www.wmcasemgmt.com/sites/casemanagement/_layouts/15/DocIdRedir.aspx?ID=2CPRT4FFDSWV-473764249-36158</Url>
      <Description>2CPRT4FFDSWV-473764249-36158</Description>
    </_dlc_DocIdUrl>
    <Content_x0020_Name xmlns="1fe5ebd6-dc4e-444c-b615-1b2eb36ecb43">17320</Content_x0020_Name>
    <File_x0020_Title xmlns="1fe5ebd6-dc4e-444c-b615-1b2eb36ecb43">14726</File_x0020_Title>
    <Converted_x0020_Content_x0020_Name xmlns="1fe5ebd6-dc4e-444c-b615-1b2eb36ecb43">F-1773TN.docx</Converted_x0020_Content_x0020_Na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5396E5AC836A4A9A6CB1BB1B648CB3" ma:contentTypeVersion="10" ma:contentTypeDescription="Create a new document." ma:contentTypeScope="" ma:versionID="d7e1a1569c6b8ab5e81216688bca50fe">
  <xsd:schema xmlns:xsd="http://www.w3.org/2001/XMLSchema" xmlns:xs="http://www.w3.org/2001/XMLSchema" xmlns:p="http://schemas.microsoft.com/office/2006/metadata/properties" xmlns:ns2="1fe5ebd6-dc4e-444c-b615-1b2eb36ecb43" xmlns:ns3="d314d7ef-47d2-49ec-98a2-beb62148fffe" targetNamespace="http://schemas.microsoft.com/office/2006/metadata/properties" ma:root="true" ma:fieldsID="8d5ae2a9d5a90476b9f6e0661be67c7d" ns2:_="" ns3:_="">
    <xsd:import namespace="1fe5ebd6-dc4e-444c-b615-1b2eb36ecb43"/>
    <xsd:import namespace="d314d7ef-47d2-49ec-98a2-beb62148fffe"/>
    <xsd:element name="properties">
      <xsd:complexType>
        <xsd:sequence>
          <xsd:element name="documentManagement">
            <xsd:complexType>
              <xsd:all>
                <xsd:element ref="ns2:Converted_x0020_Content_x0020_Name" minOccurs="0"/>
                <xsd:element ref="ns2:File_x0020_Title" minOccurs="0"/>
                <xsd:element ref="ns2:File_x0020_Title_x003a_ID" minOccurs="0"/>
                <xsd:element ref="ns2:Content_x0020_Nam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5ebd6-dc4e-444c-b615-1b2eb36ecb43" elementFormDefault="qualified">
    <xsd:import namespace="http://schemas.microsoft.com/office/2006/documentManagement/types"/>
    <xsd:import namespace="http://schemas.microsoft.com/office/infopath/2007/PartnerControls"/>
    <xsd:element name="Converted_x0020_Content_x0020_Name" ma:index="8" nillable="true" ma:displayName="Converted Content Name" ma:internalName="Converted_x0020_Content_x0020_Name">
      <xsd:simpleType>
        <xsd:restriction base="dms:Text">
          <xsd:maxLength value="255"/>
        </xsd:restriction>
      </xsd:simpleType>
    </xsd:element>
    <xsd:element name="File_x0020_Title" ma:index="9" nillable="true" ma:displayName="File Title" ma:hidden="true" ma:list="{d04e6db4-d562-49e7-b071-c561677279a8}" ma:internalName="File_x0020_Title" ma:readOnly="false" ma:showField="ID">
      <xsd:simpleType>
        <xsd:restriction base="dms:Lookup"/>
      </xsd:simpleType>
    </xsd:element>
    <xsd:element name="File_x0020_Title_x003a_ID" ma:index="10" nillable="true" ma:displayName="File Title:ID" ma:list="{d04e6db4-d562-49e7-b071-c561677279a8}" ma:internalName="File_x0020_Title_x003a_ID" ma:readOnly="true" ma:showField="ID" ma:web="d314d7ef-47d2-49ec-98a2-beb62148fffe">
      <xsd:simpleType>
        <xsd:restriction base="dms:Lookup"/>
      </xsd:simpleType>
    </xsd:element>
    <xsd:element name="Content_x0020_Name" ma:index="12" nillable="true" ma:displayName="Content Name" ma:indexed="true" ma:list="{2a1dccef-5bbd-4239-9d2c-9dab3c3bdaeb}" ma:internalName="Content_x0020_Nam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314d7ef-47d2-49ec-98a2-beb62148fff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89920-E425-4CDC-82BE-12EEC458A312}"/>
</file>

<file path=customXml/itemProps2.xml><?xml version="1.0" encoding="utf-8"?>
<ds:datastoreItem xmlns:ds="http://schemas.openxmlformats.org/officeDocument/2006/customXml" ds:itemID="{B2D41DC2-C340-4612-84C9-349A4B3BDE6D}"/>
</file>

<file path=customXml/itemProps3.xml><?xml version="1.0" encoding="utf-8"?>
<ds:datastoreItem xmlns:ds="http://schemas.openxmlformats.org/officeDocument/2006/customXml" ds:itemID="{1510DD05-BEDD-4AEA-88D8-218C2C09D13A}"/>
</file>

<file path=customXml/itemProps4.xml><?xml version="1.0" encoding="utf-8"?>
<ds:datastoreItem xmlns:ds="http://schemas.openxmlformats.org/officeDocument/2006/customXml" ds:itemID="{11860F1A-E3E0-471A-BD98-CF2EE80ADDE3}"/>
</file>

<file path=customXml/itemProps5.xml><?xml version="1.0" encoding="utf-8"?>
<ds:datastoreItem xmlns:ds="http://schemas.openxmlformats.org/officeDocument/2006/customXml" ds:itemID="{74BC8FB9-C6B5-4173-8AC8-2A0A5758760C}"/>
</file>

<file path=docProps/app.xml><?xml version="1.0" encoding="utf-8"?>
<Properties xmlns="http://schemas.openxmlformats.org/officeDocument/2006/extended-properties" xmlns:vt="http://schemas.openxmlformats.org/officeDocument/2006/docPropsVTypes">
  <Template>CaseTemplate2017.dotx</Template>
  <TotalTime>22</TotalTime>
  <Pages>8</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Battle for Value, 2016: FedEx Corp. versus United Parcel Service, Inc. (TN)</vt:lpstr>
    </vt:vector>
  </TitlesOfParts>
  <Company>UVA</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for Value, 2016: FedEx Corp. versus United Parcel Service, Inc. (TN)</dc:title>
  <dc:subject/>
  <dc:creator>Robert F. Bruner</dc:creator>
  <cp:keywords/>
  <dc:description/>
  <cp:lastModifiedBy>Richardson, Sherry</cp:lastModifiedBy>
  <cp:revision>4</cp:revision>
  <cp:lastPrinted>2018-01-26T16:29:00Z</cp:lastPrinted>
  <dcterms:created xsi:type="dcterms:W3CDTF">2018-01-25T17:34:00Z</dcterms:created>
  <dcterms:modified xsi:type="dcterms:W3CDTF">2018-01-26T16:30:00Z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Authors">
    <vt:lpwstr>Sean D. Carr</vt:lpwstr>
  </property>
  <property fmtid="{D5CDD505-2E9C-101B-9397-08002B2CF9AE}" pid="3" name="AddlAuthor">
    <vt:lpwstr/>
  </property>
  <property fmtid="{D5CDD505-2E9C-101B-9397-08002B2CF9AE}" pid="4" name="ApprovalState">
    <vt:lpwstr>Approved</vt:lpwstr>
  </property>
  <property fmtid="{D5CDD505-2E9C-101B-9397-08002B2CF9AE}" pid="5" name="Assistant">
    <vt:lpwstr>None</vt:lpwstr>
  </property>
  <property fmtid="{D5CDD505-2E9C-101B-9397-08002B2CF9AE}" pid="6" name="AuthorClassification">
    <vt:lpwstr>Darden Faculty</vt:lpwstr>
  </property>
  <property fmtid="{D5CDD505-2E9C-101B-9397-08002B2CF9AE}" pid="7" name="CCFileType">
    <vt:lpwstr>Teaching Note</vt:lpwstr>
  </property>
  <property fmtid="{D5CDD505-2E9C-101B-9397-08002B2CF9AE}" pid="8" name="CheckinCommentLine">
    <vt:lpwstr/>
  </property>
  <property fmtid="{D5CDD505-2E9C-101B-9397-08002B2CF9AE}" pid="9" name="Classification">
    <vt:lpwstr>Darden Faculty</vt:lpwstr>
  </property>
  <property fmtid="{D5CDD505-2E9C-101B-9397-08002B2CF9AE}" pid="10" name="ContentType">
    <vt:lpwstr>Document</vt:lpwstr>
  </property>
  <property fmtid="{D5CDD505-2E9C-101B-9397-08002B2CF9AE}" pid="11" name="DateEditingEnded">
    <vt:lpwstr/>
  </property>
  <property fmtid="{D5CDD505-2E9C-101B-9397-08002B2CF9AE}" pid="12" name="DateInEditing">
    <vt:lpwstr>2005-11-29T13:53:16Z</vt:lpwstr>
  </property>
  <property fmtid="{D5CDD505-2E9C-101B-9397-08002B2CF9AE}" pid="13" name="DateOfApproval">
    <vt:lpwstr>2006-02-23T15:40:41Z</vt:lpwstr>
  </property>
  <property fmtid="{D5CDD505-2E9C-101B-9397-08002B2CF9AE}" pid="14" name="DatePending">
    <vt:lpwstr>2006-02-14T08:10:31Z</vt:lpwstr>
  </property>
  <property fmtid="{D5CDD505-2E9C-101B-9397-08002B2CF9AE}" pid="15" name="DEditor">
    <vt:lpwstr>38</vt:lpwstr>
  </property>
  <property fmtid="{D5CDD505-2E9C-101B-9397-08002B2CF9AE}" pid="16" name="display_urn:schemas-microsoft-com:office:office#Author">
    <vt:lpwstr>Alston, Sherry</vt:lpwstr>
  </property>
  <property fmtid="{D5CDD505-2E9C-101B-9397-08002B2CF9AE}" pid="17" name="display_urn:schemas-microsoft-com:office:office#Editor">
    <vt:lpwstr>Riddler, Scott</vt:lpwstr>
  </property>
  <property fmtid="{D5CDD505-2E9C-101B-9397-08002B2CF9AE}" pid="18" name="DKeywords">
    <vt:lpwstr>n</vt:lpwstr>
  </property>
  <property fmtid="{D5CDD505-2E9C-101B-9397-08002B2CF9AE}" pid="19" name="DocEditor">
    <vt:lpwstr>17</vt:lpwstr>
  </property>
  <property fmtid="{D5CDD505-2E9C-101B-9397-08002B2CF9AE}" pid="20" name="DOwner">
    <vt:lpwstr>71</vt:lpwstr>
  </property>
  <property fmtid="{D5CDD505-2E9C-101B-9397-08002B2CF9AE}" pid="21" name="DSOwner">
    <vt:lpwstr/>
  </property>
  <property fmtid="{D5CDD505-2E9C-101B-9397-08002B2CF9AE}" pid="22" name="FileGUID">
    <vt:lpwstr>1e8d6941-e6ba-45fd-8be0-98f60734b0d6</vt:lpwstr>
  </property>
  <property fmtid="{D5CDD505-2E9C-101B-9397-08002B2CF9AE}" pid="23" name="LogoPermission">
    <vt:lpwstr>No</vt:lpwstr>
  </property>
  <property fmtid="{D5CDD505-2E9C-101B-9397-08002B2CF9AE}" pid="24" name="Logos">
    <vt:lpwstr>No</vt:lpwstr>
  </property>
  <property fmtid="{D5CDD505-2E9C-101B-9397-08002B2CF9AE}" pid="25" name="MetadataURL">
    <vt:lpwstr>http://casemanagement.darden.virginia.edu/Lists/Gold Metadata/DispForm.aspx?ID=11474, View Document Metadata</vt:lpwstr>
  </property>
  <property fmtid="{D5CDD505-2E9C-101B-9397-08002B2CF9AE}" pid="26" name="NoRelease">
    <vt:lpwstr>No</vt:lpwstr>
  </property>
  <property fmtid="{D5CDD505-2E9C-101B-9397-08002B2CF9AE}" pid="27" name="Owner">
    <vt:lpwstr>119</vt:lpwstr>
  </property>
  <property fmtid="{D5CDD505-2E9C-101B-9397-08002B2CF9AE}" pid="28" name="PrimaryAuthor">
    <vt:lpwstr>Robert F. Bruner</vt:lpwstr>
  </property>
  <property fmtid="{D5CDD505-2E9C-101B-9397-08002B2CF9AE}" pid="29" name="RejectionText">
    <vt:lpwstr/>
  </property>
  <property fmtid="{D5CDD505-2E9C-101B-9397-08002B2CF9AE}" pid="30" name="RelatedCases">
    <vt:lpwstr>UVA-F-1484, F-1479</vt:lpwstr>
  </property>
  <property fmtid="{D5CDD505-2E9C-101B-9397-08002B2CF9AE}" pid="31" name="SecondaryApproval">
    <vt:lpwstr>0</vt:lpwstr>
  </property>
  <property fmtid="{D5CDD505-2E9C-101B-9397-08002B2CF9AE}" pid="32" name="SignedRelease">
    <vt:lpwstr>No</vt:lpwstr>
  </property>
  <property fmtid="{D5CDD505-2E9C-101B-9397-08002B2CF9AE}" pid="33" name="SOwner">
    <vt:lpwstr/>
  </property>
  <property fmtid="{D5CDD505-2E9C-101B-9397-08002B2CF9AE}" pid="34" name="SPSAssistant">
    <vt:lpwstr>68</vt:lpwstr>
  </property>
  <property fmtid="{D5CDD505-2E9C-101B-9397-08002B2CF9AE}" pid="35" name="Status">
    <vt:lpwstr>Final</vt:lpwstr>
  </property>
  <property fmtid="{D5CDD505-2E9C-101B-9397-08002B2CF9AE}" pid="36" name="SubjectArea">
    <vt:lpwstr/>
  </property>
  <property fmtid="{D5CDD505-2E9C-101B-9397-08002B2CF9AE}" pid="37" name="VersionModifier">
    <vt:lpwstr>16</vt:lpwstr>
  </property>
  <property fmtid="{D5CDD505-2E9C-101B-9397-08002B2CF9AE}" pid="38" name="VersionModifierName">
    <vt:lpwstr>Alston, Sherry</vt:lpwstr>
  </property>
  <property fmtid="{D5CDD505-2E9C-101B-9397-08002B2CF9AE}" pid="39" name="ContentTypeId">
    <vt:lpwstr>0x010100EF5396E5AC836A4A9A6CB1BB1B648CB3</vt:lpwstr>
  </property>
  <property fmtid="{D5CDD505-2E9C-101B-9397-08002B2CF9AE}" pid="40" name="WorkflowCreationPath">
    <vt:lpwstr>005fef59-0ae5-4de4-b6f4-e33c033066cd,2;8112ca47-7fc1-45a3-b991-2d3fa337b464,3;</vt:lpwstr>
  </property>
  <property fmtid="{D5CDD505-2E9C-101B-9397-08002B2CF9AE}" pid="41" name="Processed">
    <vt:bool>false</vt:bool>
  </property>
  <property fmtid="{D5CDD505-2E9C-101B-9397-08002B2CF9AE}" pid="42" name="Modified By Temp">
    <vt:lpwstr/>
  </property>
  <property fmtid="{D5CDD505-2E9C-101B-9397-08002B2CF9AE}" pid="43" name="2nd Editor*">
    <vt:lpwstr/>
  </property>
  <property fmtid="{D5CDD505-2E9C-101B-9397-08002B2CF9AE}" pid="44" name="Version Modifier">
    <vt:lpwstr>Harris, Jared93</vt:lpwstr>
  </property>
  <property fmtid="{D5CDD505-2E9C-101B-9397-08002B2CF9AE}" pid="45" name="Convert">
    <vt:bool>false</vt:bool>
  </property>
  <property fmtid="{D5CDD505-2E9C-101B-9397-08002B2CF9AE}" pid="46" name="Read/Write privileges">
    <vt:lpwstr/>
  </property>
  <property fmtid="{D5CDD505-2E9C-101B-9397-08002B2CF9AE}" pid="47" name="New or Revision?">
    <vt:lpwstr>New</vt:lpwstr>
  </property>
  <property fmtid="{D5CDD505-2E9C-101B-9397-08002B2CF9AE}" pid="48" name="_dlc_DocIdItemGuid">
    <vt:lpwstr>0025ccba-43af-484c-bc77-96634dc2eab6</vt:lpwstr>
  </property>
  <property fmtid="{D5CDD505-2E9C-101B-9397-08002B2CF9AE}" pid="49" name="Order">
    <vt:r8>341100</vt:r8>
  </property>
  <property fmtid="{D5CDD505-2E9C-101B-9397-08002B2CF9AE}" pid="50" name="Submitted By">
    <vt:lpwstr>MullinL@darden.virginia.edu</vt:lpwstr>
  </property>
  <property fmtid="{D5CDD505-2E9C-101B-9397-08002B2CF9AE}" pid="51" name="Submission Status">
    <vt:lpwstr>Accepted</vt:lpwstr>
  </property>
  <property fmtid="{D5CDD505-2E9C-101B-9397-08002B2CF9AE}" pid="52" name="Email Time Stamp">
    <vt:filetime>2017-12-14T12:44:00Z</vt:filetime>
  </property>
  <property fmtid="{D5CDD505-2E9C-101B-9397-08002B2CF9AE}" pid="53" name="Workflow Template Name">
    <vt:lpwstr>12</vt:lpwstr>
  </property>
  <property fmtid="{D5CDD505-2E9C-101B-9397-08002B2CF9AE}" pid="54" name="Acceptance Task ID">
    <vt:lpwstr>50977</vt:lpwstr>
  </property>
  <property fmtid="{D5CDD505-2E9C-101B-9397-08002B2CF9AE}" pid="55" name="Reason For Rejection">
    <vt:lpwstr/>
  </property>
  <property fmtid="{D5CDD505-2E9C-101B-9397-08002B2CF9AE}" pid="56" name="Task ID">
    <vt:lpwstr>50691</vt:lpwstr>
  </property>
  <property fmtid="{D5CDD505-2E9C-101B-9397-08002B2CF9AE}" pid="57" name="Upload Mode">
    <vt:lpwstr>Email</vt:lpwstr>
  </property>
  <property fmtid="{D5CDD505-2E9C-101B-9397-08002B2CF9AE}" pid="58" name="Email Subject">
    <vt:lpwstr>FW: Fed-Ex USP case</vt:lpwstr>
  </property>
  <property fmtid="{D5CDD505-2E9C-101B-9397-08002B2CF9AE}" pid="59" name="Submitter">
    <vt:lpwstr/>
  </property>
  <property fmtid="{D5CDD505-2E9C-101B-9397-08002B2CF9AE}" pid="60" name="Faculty Sponsor">
    <vt:lpwstr>219;#Schill, Michael J.</vt:lpwstr>
  </property>
  <property fmtid="{D5CDD505-2E9C-101B-9397-08002B2CF9AE}" pid="61" name="Content_x0020_Type">
    <vt:lpwstr>10</vt:lpwstr>
  </property>
  <property fmtid="{D5CDD505-2E9C-101B-9397-08002B2CF9AE}" pid="62" name="Workflow_x0020_Instance_x0020_Name">
    <vt:lpwstr>6165</vt:lpwstr>
  </property>
  <property fmtid="{D5CDD505-2E9C-101B-9397-08002B2CF9AE}" pid="63" name="Reviewer">
    <vt:lpwstr>219;#Schill, Michael J.</vt:lpwstr>
  </property>
  <property fmtid="{D5CDD505-2E9C-101B-9397-08002B2CF9AE}" pid="64" name="Content Type">
    <vt:lpwstr>10</vt:lpwstr>
  </property>
  <property fmtid="{D5CDD505-2E9C-101B-9397-08002B2CF9AE}" pid="65" name="Product Type">
    <vt:lpwstr/>
  </property>
  <property fmtid="{D5CDD505-2E9C-101B-9397-08002B2CF9AE}" pid="66" name="Workflow Instance Name">
    <vt:lpwstr>6165</vt:lpwstr>
  </property>
  <property fmtid="{D5CDD505-2E9C-101B-9397-08002B2CF9AE}" pid="67" name="Target Audiences">
    <vt:lpwstr/>
  </property>
  <property fmtid="{D5CDD505-2E9C-101B-9397-08002B2CF9AE}" pid="68" name="Mode">
    <vt:lpwstr>1</vt:lpwstr>
  </property>
  <property fmtid="{D5CDD505-2E9C-101B-9397-08002B2CF9AE}" pid="69" name="Comments">
    <vt:lpwstr/>
  </property>
</Properties>
</file>